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Style w:val="2072"/>
        <w:tblW w:w="0" w:type="auto"/>
        <w:tblBorders/>
        <w:tblLook w:val="04A0" w:firstRow="1" w:lastRow="0" w:firstColumn="1" w:lastColumn="0" w:noHBand="0" w:noVBand="1"/>
      </w:tblPr>
      <w:tblGrid>
        <w:gridCol w:w="3483"/>
        <w:gridCol w:w="5709"/>
      </w:tblGrid>
      <w:tr>
        <w:trPr>
          <w:trHeight w:val="113"/>
        </w:trPr>
        <w:tc>
          <w:tcPr>
            <w:tcBorders/>
            <w:tcW w:w="3483" w:type="dxa"/>
            <w:textDirection w:val="lrTb"/>
            <w:noWrap w:val="false"/>
          </w:tcPr>
          <w:p>
            <w:pPr>
              <w:pBdr/>
              <w:tabs>
                <w:tab w:val="left" w:leader="none" w:pos="567"/>
              </w:tabs>
              <w:spacing/>
              <w:ind/>
              <w:jc w:val="center"/>
              <w:rPr>
                <w:b/>
                <w:sz w:val="26"/>
                <w:szCs w:val="26"/>
              </w:rPr>
            </w:pPr>
            <w:r>
              <w:rPr>
                <w:b/>
                <w:sz w:val="26"/>
                <w:szCs w:val="26"/>
              </w:rPr>
              <w:t xml:space="preserve">ỦY BAN NHÂN DÂN</w:t>
            </w:r>
            <w:r>
              <w:rPr>
                <w:b/>
                <w:sz w:val="26"/>
                <w:szCs w:val="26"/>
              </w:rPr>
            </w:r>
            <w:r>
              <w:rPr>
                <w:b/>
                <w:sz w:val="26"/>
                <w:szCs w:val="26"/>
              </w:rPr>
            </w:r>
          </w:p>
        </w:tc>
        <w:tc>
          <w:tcPr>
            <w:tcBorders/>
            <w:tcW w:w="5709" w:type="dxa"/>
            <w:textDirection w:val="lrTb"/>
            <w:noWrap w:val="false"/>
          </w:tcPr>
          <w:p>
            <w:pPr>
              <w:pBdr/>
              <w:tabs>
                <w:tab w:val="left" w:leader="none" w:pos="567"/>
              </w:tabs>
              <w:spacing/>
              <w:ind/>
              <w:jc w:val="center"/>
              <w:rPr>
                <w:b/>
                <w:sz w:val="26"/>
                <w:szCs w:val="26"/>
              </w:rPr>
            </w:pPr>
            <w:r>
              <w:rPr>
                <w:b/>
                <w:sz w:val="26"/>
                <w:szCs w:val="26"/>
              </w:rPr>
              <w:t xml:space="preserve">CỘNG HÒA XÃ HỘI CHỦ NGHĨA VIỆT NAM</w:t>
            </w:r>
            <w:r>
              <w:rPr>
                <w:b/>
                <w:sz w:val="26"/>
                <w:szCs w:val="26"/>
              </w:rPr>
            </w:r>
            <w:r>
              <w:rPr>
                <w:b/>
                <w:sz w:val="26"/>
                <w:szCs w:val="26"/>
              </w:rPr>
            </w:r>
          </w:p>
        </w:tc>
      </w:tr>
      <w:tr>
        <w:trPr>
          <w:trHeight w:val="113"/>
        </w:trPr>
        <w:tc>
          <w:tcPr>
            <w:tcBorders/>
            <w:tcW w:w="3483" w:type="dxa"/>
            <w:textDirection w:val="lrTb"/>
            <w:noWrap w:val="false"/>
          </w:tcPr>
          <w:p>
            <w:pPr>
              <w:pBdr/>
              <w:tabs>
                <w:tab w:val="left" w:leader="none" w:pos="567"/>
              </w:tabs>
              <w:spacing/>
              <w:ind/>
              <w:jc w:val="center"/>
              <w:rPr>
                <w:b/>
                <w:sz w:val="26"/>
                <w:szCs w:val="26"/>
              </w:rPr>
            </w:pPr>
            <w:r>
              <w:rPr>
                <w:b/>
                <w:sz w:val="26"/>
                <w:szCs w:val="26"/>
              </w:rPr>
              <w:t xml:space="preserve">TỈNH TÂY NINH</w:t>
            </w:r>
            <w:r>
              <w:rPr>
                <w:b/>
                <w:sz w:val="26"/>
                <w:szCs w:val="26"/>
              </w:rPr>
            </w:r>
            <w:r>
              <w:rPr>
                <w:b/>
                <w:sz w:val="26"/>
                <w:szCs w:val="26"/>
              </w:rPr>
            </w:r>
          </w:p>
        </w:tc>
        <w:tc>
          <w:tcPr>
            <w:tcBorders/>
            <w:tcW w:w="5709" w:type="dxa"/>
            <w:textDirection w:val="lrTb"/>
            <w:noWrap w:val="false"/>
          </w:tcPr>
          <w:p>
            <w:pPr>
              <w:pBdr/>
              <w:tabs>
                <w:tab w:val="left" w:leader="none" w:pos="567"/>
              </w:tabs>
              <w:spacing/>
              <w:ind/>
              <w:jc w:val="center"/>
              <w:rPr>
                <w:b/>
                <w:sz w:val="26"/>
                <w:szCs w:val="26"/>
              </w:rPr>
            </w:pPr>
            <w:r>
              <w:rPr>
                <w:b/>
                <w:sz w:val="26"/>
                <w:szCs w:val="26"/>
              </w:rPr>
              <w:t xml:space="preserve">Độc lập - Tự do - Hạnh phúc</w:t>
            </w:r>
            <w:r>
              <w:rPr>
                <w:b/>
                <w:sz w:val="26"/>
                <w:szCs w:val="26"/>
              </w:rPr>
            </w:r>
            <w:r>
              <w:rPr>
                <w:b/>
                <w:sz w:val="26"/>
                <w:szCs w:val="26"/>
              </w:rPr>
            </w:r>
          </w:p>
        </w:tc>
      </w:tr>
      <w:tr>
        <w:trPr>
          <w:trHeight w:val="113"/>
        </w:trPr>
        <w:tc>
          <w:tcPr>
            <w:tcBorders/>
            <w:tcW w:w="3483" w:type="dxa"/>
            <w:textDirection w:val="lrTb"/>
            <w:noWrap w:val="false"/>
          </w:tcPr>
          <w:p>
            <w:pPr>
              <w:pBdr/>
              <w:tabs>
                <w:tab w:val="left" w:leader="none" w:pos="567"/>
              </w:tabs>
              <w:spacing/>
              <w:ind/>
              <w:rPr>
                <w:sz w:val="26"/>
                <w:szCs w:val="26"/>
              </w:rPr>
            </w:pPr>
            <w:r>
              <w:rPr>
                <w:b/>
                <w:sz w:val="26"/>
                <w:szCs w:val="26"/>
              </w:rPr>
              <mc:AlternateContent>
                <mc:Choice Requires="wpg">
                  <w:drawing>
                    <wp:anchor xmlns:wp="http://schemas.openxmlformats.org/drawingml/2006/wordprocessingDrawing" xmlns:wp14="http://schemas.microsoft.com/office/word/2010/wordprocessingDrawing" distT="0" distB="0" distL="114300" distR="114300" simplePos="0" relativeHeight="251657216" behindDoc="0" locked="0" layoutInCell="1" allowOverlap="1">
                      <wp:simplePos x="0" y="0"/>
                      <wp:positionH relativeFrom="column">
                        <wp:posOffset>662609</wp:posOffset>
                      </wp:positionH>
                      <wp:positionV relativeFrom="paragraph">
                        <wp:posOffset>25400</wp:posOffset>
                      </wp:positionV>
                      <wp:extent cx="847725" cy="0"/>
                      <wp:effectExtent l="0" t="0" r="28575" b="19050"/>
                      <wp:wrapNone/>
                      <wp:docPr id="1" name="Straight Connector 1"/>
                      <wp:cNvGraphicFramePr/>
                      <a:graphic xmlns:a="http://schemas.openxmlformats.org/drawingml/2006/main">
                        <a:graphicData uri="http://schemas.microsoft.com/office/word/2010/wordprocessingShape">
                          <wps:wsp>
                            <wps:cNvPr id="0" name=""/>
                            <wps:cNvSpPr/>
                            <wps:spPr bwMode="auto">
                              <a:xfrm flipV="1">
                                <a:off x="0" y="0"/>
                                <a:ext cx="847725" cy="0"/>
                              </a:xfrm>
                              <a:prstGeom prst="line">
                                <a:avLst/>
                              </a:prstGeom>
                            </wps:spPr>
                            <wps:style>
                              <a:lnRef idx="1">
                                <a:schemeClr val="dk1"/>
                              </a:lnRef>
                              <a:fillRef idx="0">
                                <a:schemeClr val="dk1"/>
                              </a:fillRef>
                              <a:effectRef idx="0">
                                <a:schemeClr val="dk1"/>
                              </a:effectRef>
                              <a:fontRef idx="minor">
                                <a:schemeClr val="tx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line id="shape 0" o:spid="_x0000_s0" style="position:absolute;left:0;text-align:left;z-index:251657216;mso-wrap-distance-left:9.00pt;mso-wrap-distance-top:0.00pt;mso-wrap-distance-right:9.00pt;mso-wrap-distance-bottom:0.00pt;flip:y;visibility:visible;" from="52.2pt,2.0pt" to="118.9pt,2.0pt" filled="f" strokecolor="#000000" strokeweight="0.50pt">
                      <v:stroke dashstyle="solid"/>
                    </v:line>
                  </w:pict>
                </mc:Fallback>
              </mc:AlternateContent>
            </w:r>
            <w:r>
              <w:rPr>
                <w:sz w:val="26"/>
                <w:szCs w:val="26"/>
              </w:rPr>
            </w:r>
            <w:r>
              <w:rPr>
                <w:sz w:val="26"/>
                <w:szCs w:val="26"/>
              </w:rPr>
            </w:r>
          </w:p>
        </w:tc>
        <w:tc>
          <w:tcPr>
            <w:tcBorders/>
            <w:tcW w:w="5709" w:type="dxa"/>
            <w:textDirection w:val="lrTb"/>
            <w:noWrap w:val="false"/>
          </w:tcPr>
          <w:p>
            <w:pPr>
              <w:pBdr/>
              <w:tabs>
                <w:tab w:val="left" w:leader="none" w:pos="567"/>
              </w:tabs>
              <w:spacing/>
              <w:ind/>
              <w:rPr>
                <w:sz w:val="26"/>
                <w:szCs w:val="26"/>
              </w:rPr>
            </w:pPr>
            <w:r>
              <w:rPr>
                <w:b/>
                <w:sz w:val="26"/>
                <w:szCs w:val="26"/>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764236</wp:posOffset>
                      </wp:positionH>
                      <wp:positionV relativeFrom="paragraph">
                        <wp:posOffset>19685</wp:posOffset>
                      </wp:positionV>
                      <wp:extent cx="2023110" cy="0"/>
                      <wp:effectExtent l="0" t="0" r="34290" b="19050"/>
                      <wp:wrapNone/>
                      <wp:docPr id="2" name="Straight Connector 2"/>
                      <wp:cNvGraphicFramePr/>
                      <a:graphic xmlns:a="http://schemas.openxmlformats.org/drawingml/2006/main">
                        <a:graphicData uri="http://schemas.microsoft.com/office/word/2010/wordprocessingShape">
                          <wps:wsp>
                            <wps:cNvPr id="0" name=""/>
                            <wps:cNvSpPr/>
                            <wps:spPr bwMode="auto">
                              <a:xfrm flipV="1">
                                <a:off x="0" y="0"/>
                                <a:ext cx="2023110" cy="0"/>
                              </a:xfrm>
                              <a:prstGeom prst="line">
                                <a:avLst/>
                              </a:prstGeom>
                            </wps:spPr>
                            <wps:style>
                              <a:lnRef idx="1">
                                <a:schemeClr val="dk1"/>
                              </a:lnRef>
                              <a:fillRef idx="0">
                                <a:schemeClr val="dk1"/>
                              </a:fillRef>
                              <a:effectRef idx="0">
                                <a:schemeClr val="dk1"/>
                              </a:effectRef>
                              <a:fontRef idx="minor">
                                <a:schemeClr val="tx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line id="shape 1" o:spid="_x0000_s1" style="position:absolute;left:0;text-align:left;z-index:251659264;mso-wrap-distance-left:9.00pt;mso-wrap-distance-top:0.00pt;mso-wrap-distance-right:9.00pt;mso-wrap-distance-bottom:0.00pt;flip:y;visibility:visible;" from="60.2pt,1.5pt" to="219.5pt,1.5pt" filled="f" strokecolor="#000000" strokeweight="0.50pt">
                      <v:stroke dashstyle="solid"/>
                    </v:line>
                  </w:pict>
                </mc:Fallback>
              </mc:AlternateContent>
            </w:r>
            <w:r>
              <w:rPr>
                <w:sz w:val="26"/>
                <w:szCs w:val="26"/>
              </w:rPr>
            </w:r>
            <w:r>
              <w:rPr>
                <w:sz w:val="26"/>
                <w:szCs w:val="26"/>
              </w:rPr>
            </w:r>
          </w:p>
        </w:tc>
      </w:tr>
      <w:tr>
        <w:trPr>
          <w:trHeight w:val="366"/>
        </w:trPr>
        <w:tc>
          <w:tcPr>
            <w:tcBorders/>
            <w:tcW w:w="3483" w:type="dxa"/>
            <w:textDirection w:val="lrTb"/>
            <w:noWrap w:val="false"/>
          </w:tcPr>
          <w:p>
            <w:pPr>
              <w:pBdr/>
              <w:tabs>
                <w:tab w:val="left" w:leader="none" w:pos="567"/>
              </w:tabs>
              <w:spacing/>
              <w:ind/>
              <w:jc w:val="center"/>
              <w:rPr>
                <w:sz w:val="26"/>
                <w:szCs w:val="26"/>
              </w:rPr>
            </w:pPr>
            <w:r>
              <w:rPr>
                <w:sz w:val="26"/>
                <w:szCs w:val="26"/>
              </w:rPr>
              <w:t xml:space="preserve">Số:           /BC-UBND</w:t>
            </w:r>
            <w:r>
              <w:rPr>
                <w:sz w:val="26"/>
                <w:szCs w:val="26"/>
              </w:rPr>
            </w:r>
            <w:r>
              <w:rPr>
                <w:sz w:val="26"/>
                <w:szCs w:val="26"/>
              </w:rPr>
            </w:r>
          </w:p>
        </w:tc>
        <w:tc>
          <w:tcPr>
            <w:tcBorders/>
            <w:tcW w:w="5709" w:type="dxa"/>
            <w:textDirection w:val="lrTb"/>
            <w:noWrap w:val="false"/>
          </w:tcPr>
          <w:p>
            <w:pPr>
              <w:pBdr/>
              <w:tabs>
                <w:tab w:val="left" w:leader="none" w:pos="567"/>
              </w:tabs>
              <w:spacing/>
              <w:ind/>
              <w:jc w:val="center"/>
              <w:rPr>
                <w:i/>
                <w:sz w:val="26"/>
                <w:szCs w:val="26"/>
              </w:rPr>
            </w:pPr>
            <w:r>
              <w:rPr>
                <w:i/>
                <w:sz w:val="26"/>
                <w:szCs w:val="26"/>
              </w:rPr>
              <w:t xml:space="preserve">Tây Ninh, ngày         tháng 9</w:t>
            </w:r>
            <w:r>
              <w:rPr>
                <w:i/>
                <w:sz w:val="26"/>
                <w:szCs w:val="26"/>
              </w:rPr>
              <w:t xml:space="preserve"> năm 2025</w:t>
            </w:r>
            <w:r>
              <w:rPr>
                <w:i/>
                <w:sz w:val="26"/>
                <w:szCs w:val="26"/>
              </w:rPr>
            </w:r>
            <w:r>
              <w:rPr>
                <w:i/>
                <w:sz w:val="26"/>
                <w:szCs w:val="26"/>
              </w:rPr>
            </w:r>
          </w:p>
        </w:tc>
      </w:tr>
    </w:tbl>
    <w:p>
      <w:pPr>
        <w:widowControl w:val="false"/>
        <w:pBdr/>
        <w:tabs>
          <w:tab w:val="left" w:leader="none" w:pos="567"/>
        </w:tabs>
        <w:spacing w:before="480"/>
        <w:ind/>
        <w:jc w:val="center"/>
        <w:rPr>
          <w:b/>
          <w:bCs/>
        </w:rPr>
      </w:pPr>
      <w:r>
        <w:rPr>
          <w:b/>
          <w:bCs/>
          <w:lang w:val="vi-VN"/>
        </w:rPr>
        <w:t xml:space="preserve">BÁO CÁO</w:t>
      </w:r>
      <w:r>
        <w:rPr>
          <w:b/>
          <w:bCs/>
        </w:rPr>
      </w:r>
      <w:r>
        <w:rPr>
          <w:b/>
          <w:bCs/>
        </w:rPr>
      </w:r>
    </w:p>
    <w:p>
      <w:pPr>
        <w:pStyle w:val="1680"/>
        <w:keepNext w:val="false"/>
        <w:widowControl w:val="false"/>
        <w:pBdr/>
        <w:tabs>
          <w:tab w:val="left" w:leader="none" w:pos="567"/>
        </w:tabs>
        <w:spacing w:after="0" w:before="0"/>
        <w:ind/>
        <w:contextualSpacing w:val="true"/>
        <w:jc w:val="center"/>
        <w:rPr>
          <w:rFonts w:ascii="Times New Roman" w:hAnsi="Times New Roman"/>
          <w:sz w:val="28"/>
          <w:szCs w:val="28"/>
        </w:rPr>
      </w:pPr>
      <w:r>
        <w:rPr>
          <w:rFonts w:ascii="Times New Roman" w:hAnsi="Times New Roman"/>
          <w:sz w:val="28"/>
          <w:szCs w:val="28"/>
          <w:lang w:val="vi-VN"/>
        </w:rPr>
        <w:t xml:space="preserve">Tình hình phát triển kinh tế - xã hội tháng </w:t>
      </w:r>
      <w:r>
        <w:rPr>
          <w:rFonts w:ascii="Times New Roman" w:hAnsi="Times New Roman"/>
          <w:sz w:val="28"/>
          <w:szCs w:val="28"/>
        </w:rPr>
        <w:t xml:space="preserve">8</w:t>
      </w:r>
      <w:r>
        <w:rPr>
          <w:rFonts w:ascii="Times New Roman" w:hAnsi="Times New Roman"/>
          <w:sz w:val="28"/>
          <w:szCs w:val="28"/>
        </w:rPr>
      </w:r>
      <w:r>
        <w:rPr>
          <w:rFonts w:ascii="Times New Roman" w:hAnsi="Times New Roman"/>
          <w:sz w:val="28"/>
          <w:szCs w:val="28"/>
        </w:rPr>
      </w:r>
    </w:p>
    <w:p>
      <w:pPr>
        <w:pStyle w:val="1680"/>
        <w:keepNext w:val="false"/>
        <w:widowControl w:val="false"/>
        <w:pBdr/>
        <w:tabs>
          <w:tab w:val="left" w:leader="none" w:pos="567"/>
        </w:tabs>
        <w:spacing w:after="480" w:before="0"/>
        <w:ind/>
        <w:jc w:val="center"/>
        <w:rPr>
          <w:rFonts w:ascii="Times New Roman" w:hAnsi="Times New Roman"/>
          <w:sz w:val="28"/>
          <w:szCs w:val="28"/>
        </w:rPr>
      </w:pPr>
      <w:r>
        <mc:AlternateContent>
          <mc:Choice Requires="wpg">
            <w:drawing>
              <wp:anchor xmlns:wp="http://schemas.openxmlformats.org/drawingml/2006/wordprocessingDrawing" xmlns:wp14="http://schemas.microsoft.com/office/word/2010/wordprocessingDrawing" distT="0" distB="4294967295" distL="114300" distR="114300" simplePos="0" relativeHeight="251654656" behindDoc="0" locked="0" layoutInCell="1" allowOverlap="1">
                <wp:simplePos x="0" y="0"/>
                <wp:positionH relativeFrom="column">
                  <wp:posOffset>2157730</wp:posOffset>
                </wp:positionH>
                <wp:positionV relativeFrom="paragraph">
                  <wp:posOffset>238456</wp:posOffset>
                </wp:positionV>
                <wp:extent cx="1477010" cy="0"/>
                <wp:effectExtent l="0" t="0" r="27940" b="19050"/>
                <wp:wrapNone/>
                <wp:docPr id="3" name="Straight Connector 1"/>
                <wp:cNvGraphicFramePr/>
                <a:graphic xmlns:a="http://schemas.openxmlformats.org/drawingml/2006/main">
                  <a:graphicData uri="http://schemas.microsoft.com/office/word/2010/wordprocessingShape">
                    <wps:wsp>
                      <wps:cNvPr id="0" name=""/>
                      <wps:cNvSpPr/>
                      <wps:spPr bwMode="auto">
                        <a:xfrm>
                          <a:off x="0" y="0"/>
                          <a:ext cx="1477010" cy="0"/>
                        </a:xfrm>
                        <a:prstGeom prst="line">
                          <a:avLst/>
                        </a:prstGeom>
                      </wps:spPr>
                      <wps:style>
                        <a:lnRef idx="1">
                          <a:schemeClr val="dk1"/>
                        </a:lnRef>
                        <a:fillRef idx="0">
                          <a:schemeClr val="dk1"/>
                        </a:fillRef>
                        <a:effectRef idx="0">
                          <a:schemeClr val="dk1"/>
                        </a:effectRef>
                        <a:fontRef idx="minor">
                          <a:schemeClr val="tx1"/>
                        </a:fontRef>
                      </wps:style>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line id="shape 2" o:spid="_x0000_s2" style="position:absolute;left:0;text-align:left;z-index:251654656;mso-wrap-distance-left:9.00pt;mso-wrap-distance-top:0.00pt;mso-wrap-distance-right:9.00pt;mso-wrap-distance-bottom:-169093.20pt;visibility:visible;" from="169.9pt,18.8pt" to="286.2pt,18.8pt" filled="f" strokecolor="#000000" strokeweight="0.50pt">
                <v:stroke dashstyle="solid"/>
              </v:line>
            </w:pict>
          </mc:Fallback>
        </mc:AlternateContent>
      </w:r>
      <w:r>
        <w:rPr>
          <w:rFonts w:ascii="Times New Roman" w:hAnsi="Times New Roman"/>
          <w:sz w:val="28"/>
          <w:szCs w:val="28"/>
          <w:lang w:val="vi-VN"/>
        </w:rPr>
        <w:t xml:space="preserve">và phương hướng, nhiệm vụ trọng tâm tháng </w:t>
      </w:r>
      <w:r>
        <w:rPr>
          <w:rFonts w:ascii="Times New Roman" w:hAnsi="Times New Roman"/>
          <w:sz w:val="28"/>
          <w:szCs w:val="28"/>
        </w:rPr>
        <w:t xml:space="preserve">9</w:t>
      </w:r>
      <w:r>
        <w:rPr>
          <w:rFonts w:ascii="Times New Roman" w:hAnsi="Times New Roman"/>
          <w:sz w:val="28"/>
          <w:szCs w:val="28"/>
          <w:lang w:val="vi-VN"/>
        </w:rPr>
        <w:t xml:space="preserve"> năm 202</w:t>
      </w:r>
      <w:r>
        <w:rPr>
          <w:rFonts w:ascii="Times New Roman" w:hAnsi="Times New Roman"/>
          <w:sz w:val="28"/>
          <w:szCs w:val="28"/>
        </w:rPr>
        <w:t xml:space="preserve">5</w:t>
      </w:r>
      <w:r>
        <w:rPr>
          <w:rFonts w:ascii="Times New Roman" w:hAnsi="Times New Roman"/>
          <w:sz w:val="28"/>
          <w:szCs w:val="28"/>
        </w:rPr>
      </w:r>
      <w:r>
        <w:rPr>
          <w:rFonts w:ascii="Times New Roman" w:hAnsi="Times New Roman"/>
          <w:sz w:val="28"/>
          <w:szCs w:val="28"/>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
          <w:bCs/>
          <w:iCs/>
        </w:rPr>
      </w:pPr>
      <w:r>
        <w:rPr>
          <w:b/>
          <w:bCs/>
          <w:iCs/>
          <w:lang w:val="vi-VN"/>
        </w:rPr>
        <w:t xml:space="preserve">A. Tình hình kinh tế - xã hội tháng </w:t>
      </w:r>
      <w:r>
        <w:rPr>
          <w:b/>
          <w:bCs/>
          <w:iCs/>
        </w:rPr>
        <w:t xml:space="preserve">8</w:t>
      </w:r>
      <w:r>
        <w:rPr>
          <w:b/>
          <w:bCs/>
          <w:iCs/>
          <w:lang w:val="vi-VN"/>
        </w:rPr>
        <w:t xml:space="preserve"> năm 202</w:t>
      </w:r>
      <w:r>
        <w:rPr>
          <w:b/>
          <w:bCs/>
          <w:iCs/>
        </w:rPr>
        <w:t xml:space="preserve">5</w:t>
      </w:r>
      <w:r>
        <w:rPr>
          <w:b/>
          <w:bCs/>
          <w:iCs/>
        </w:rPr>
      </w:r>
      <w:r>
        <w:rPr>
          <w:b/>
          <w:bCs/>
          <w:iCs/>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b/>
          <w:bCs/>
        </w:rPr>
        <w:t xml:space="preserve">I. Lĩnh vực kinh tế</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iCs/>
        </w:rPr>
      </w:pPr>
      <w:r>
        <w:t xml:space="preserve">Tình hình kinh tế của tỉnh </w:t>
      </w:r>
      <w:r>
        <w:rPr>
          <w:iCs/>
        </w:rPr>
        <w:t xml:space="preserve">tiếp tục được tập trung chỉ đạo</w:t>
      </w:r>
      <w:r>
        <w:t xml:space="preserve"> quyết liệt, đạt kết quả tích cực trên hầu hết các lĩnh vực: Các cây trồng chủ lực phát triển ổn định, diện tích gieo trồng tăng; dịch bệnh trên cây trồng, vật nuôi được kiểm soát; </w:t>
      </w:r>
      <w:r>
        <w:t xml:space="preserve">nuôi trồng thủy sản tiếp tục đem lại hiệu quả; tuy nhiên, giá tiêu thụ các mặt hàng nông sản có xu hướng giảm so với tháng trước. Hoạt động sản xuất doanh nghiệp trong tháng tăng mạnh so với cùng kỳ, chỉ số sản xuất công nghiệp (IIP) tháng 8 tăng 12,85%. T</w:t>
      </w:r>
      <w:r>
        <w:rPr>
          <w:iCs/>
        </w:rPr>
        <w:t xml:space="preserve">hương mại - dịch vụ tiếp tục phát triển sôi động; tổng mức bán lẻ hàng hóa dịch vụ tiêu dùng tăng 14,76%</w:t>
      </w:r>
      <w:r>
        <w:t xml:space="preserve">. Kết quả cụ thể trên các lĩnh vực: </w:t>
      </w:r>
      <w:r>
        <w:rPr>
          <w:iCs/>
        </w:rPr>
      </w:r>
      <w:r>
        <w:rPr>
          <w:iCs/>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i/>
        </w:rPr>
      </w:pPr>
      <w:r>
        <w:rPr>
          <w:b/>
          <w:bCs/>
        </w:rPr>
        <w:t xml:space="preserve">1. Lĩnh vực nông nghiệp, lâm nghiệp, thủy sản: </w:t>
      </w:r>
      <w:r>
        <w:rPr>
          <w:i/>
        </w:rPr>
        <w:t xml:space="preserve">Sản xuất nông nghi</w:t>
      </w:r>
      <w:r>
        <w:rPr>
          <w:i/>
        </w:rPr>
        <w:t xml:space="preserve">ệp trong tháng tiếp tục được quan tâm, chỉ đạo chặt chẽ theo kế hoạch đề ra; tình hình dịch bệnh ổn định, không xuất hiện các ổ dịch lớn; lúa chất lượng cao chiếm tỷ trọng lớn, chiếm 70% tổng sản lượng lúa; sản lượng thanh long, chanh tăng so với cùng kỳ; </w:t>
      </w:r>
      <w:r>
        <w:rPr>
          <w:i/>
          <w:shd w:val="clear" w:color="auto" w:fill="ffffff"/>
        </w:rPr>
        <w:t xml:space="preserve">nuôi trồng thủy sản tiếp tục đem lại hiệu quả (sản lượng tăng 27%)</w:t>
      </w:r>
      <w:r>
        <w:rPr>
          <w:i/>
        </w:rPr>
        <w:t xml:space="preserve">; tuy nhiên, tình hình tiêu thụ nông sản không được thuận lợi, giá </w:t>
      </w:r>
      <w:r>
        <w:rPr>
          <w:i/>
          <w:shd w:val="clear" w:color="auto" w:fill="ffffff"/>
        </w:rPr>
        <w:t xml:space="preserve">tiêu thụ các mặt hàng nông sản đa số giảm so với tháng trước.</w:t>
      </w:r>
      <w:r>
        <w:rPr>
          <w:i/>
        </w:rPr>
      </w:r>
      <w:r>
        <w:rPr>
          <w:i/>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t xml:space="preserve">Sản lượng lúa </w:t>
      </w:r>
      <w:r>
        <w:rPr>
          <w:rFonts w:eastAsia="Calibri"/>
          <w:lang w:val="vi-VN"/>
        </w:rPr>
        <w:t xml:space="preserve">ước đạt </w:t>
      </w:r>
      <w:r>
        <w:rPr>
          <w:bCs/>
        </w:rPr>
        <w:t xml:space="preserve">597.026 </w:t>
      </w:r>
      <w:r>
        <w:rPr>
          <w:rFonts w:eastAsia="Calibri"/>
          <w:lang w:val="vi-VN"/>
        </w:rPr>
        <w:t xml:space="preserve">ha, đạt </w:t>
      </w:r>
      <w:r>
        <w:rPr>
          <w:bCs/>
        </w:rPr>
        <w:t xml:space="preserve">91,3</w:t>
      </w:r>
      <w:r>
        <w:rPr>
          <w:rFonts w:eastAsia="Calibri"/>
          <w:lang w:val="vi-VN"/>
        </w:rPr>
        <w:t xml:space="preserve">% kế hoạch</w:t>
      </w:r>
      <w:r>
        <w:rPr>
          <w:rStyle w:val="2063"/>
          <w:rFonts w:eastAsia="Calibri"/>
          <w:lang w:val="vi-VN"/>
        </w:rPr>
        <w:footnoteReference w:id="2"/>
      </w:r>
      <w:r>
        <w:rPr>
          <w:rFonts w:eastAsia="Calibri"/>
          <w:lang w:val="vi-VN"/>
        </w:rPr>
        <w:t xml:space="preserve">; đã thu hoạch </w:t>
      </w:r>
      <w:r>
        <w:rPr>
          <w:bCs/>
        </w:rPr>
        <w:t xml:space="preserve">451.687 </w:t>
      </w:r>
      <w:r>
        <w:rPr>
          <w:rFonts w:eastAsia="Calibri"/>
          <w:lang w:val="vi-VN"/>
        </w:rPr>
        <w:t xml:space="preserve">ha, năng suất (khô) bình quân ước đạt 6</w:t>
      </w:r>
      <w:r>
        <w:rPr>
          <w:rFonts w:eastAsia="Calibri"/>
        </w:rPr>
        <w:t xml:space="preserve">,</w:t>
      </w:r>
      <w:r>
        <w:rPr>
          <w:rFonts w:eastAsia="Calibri"/>
          <w:lang w:val="vi-VN"/>
        </w:rPr>
        <w:t xml:space="preserve">31 </w:t>
      </w:r>
      <w:r>
        <w:rPr>
          <w:rFonts w:eastAsia="Calibri"/>
        </w:rPr>
        <w:t xml:space="preserve">tấn</w:t>
      </w:r>
      <w:r>
        <w:rPr>
          <w:rFonts w:eastAsia="Calibri"/>
          <w:lang w:val="vi-VN"/>
        </w:rPr>
        <w:t xml:space="preserve">/ha, sản lượng ước đạt </w:t>
      </w:r>
      <w:r>
        <w:rPr>
          <w:bCs/>
        </w:rPr>
        <w:t xml:space="preserve">2,85 </w:t>
      </w:r>
      <w:r>
        <w:rPr>
          <w:rFonts w:eastAsia="Calibri"/>
        </w:rPr>
        <w:t xml:space="preserve">triệu</w:t>
      </w:r>
      <w:r>
        <w:rPr>
          <w:rFonts w:eastAsia="Calibri"/>
          <w:lang w:val="vi-VN"/>
        </w:rPr>
        <w:t xml:space="preserve"> tấn, đạt </w:t>
      </w:r>
      <w:r>
        <w:rPr>
          <w:bCs/>
        </w:rPr>
        <w:t xml:space="preserve">75,7</w:t>
      </w:r>
      <w:r>
        <w:rPr>
          <w:rFonts w:eastAsia="Calibri"/>
          <w:lang w:val="vi-VN"/>
        </w:rPr>
        <w:t xml:space="preserve">% kế hoạch;</w:t>
      </w:r>
      <w:r>
        <w:rPr>
          <w:rFonts w:eastAsia="Calibri"/>
        </w:rPr>
        <w:t xml:space="preserve"> </w:t>
      </w:r>
      <w:r>
        <w:rPr>
          <w:rFonts w:eastAsia="SimSun"/>
          <w:spacing w:val="-6"/>
        </w:rPr>
        <w:t xml:space="preserve">trong đó, sản lượng lúa chất lượng cao ước đạt 2,639 triệu tấn, chiếm 70% tổng sản lượng lúa</w:t>
      </w:r>
      <w:r>
        <w:t xml:space="preserve">. D</w:t>
      </w:r>
      <w:r>
        <w:rPr>
          <w:rFonts w:eastAsia="SimSun"/>
        </w:rPr>
        <w:t xml:space="preserve">iện tích gieo trồng cây trồng khác như chanh tăng so với cùng kỳ, riêng thanh long có diện tích giảm so với cùng kỳ</w:t>
      </w:r>
      <w:r>
        <w:rPr>
          <w:rStyle w:val="2063"/>
          <w:rFonts w:eastAsia="SimSun"/>
        </w:rPr>
        <w:footnoteReference w:id="3"/>
      </w:r>
      <w:r>
        <w:rPr>
          <w:rFonts w:eastAsia="SimSun"/>
        </w:rPr>
        <w:t xml:space="preserve">.</w:t>
      </w:r>
      <w:r>
        <w:t xml:space="preserve"> </w:t>
      </w:r>
      <w:r>
        <w:rPr>
          <w:shd w:val="clear" w:color="auto" w:fill="ffffff"/>
        </w:rPr>
        <w:t xml:space="preserve">Công tác phòng chống dịch bệnh</w:t>
      </w:r>
      <w:r>
        <w:t xml:space="preserve"> trên cây trồng, vật nuôi được quan tâm thực </w:t>
      </w:r>
      <w:r>
        <w:t xml:space="preserve">hiện</w:t>
      </w:r>
      <w:r>
        <w:rPr>
          <w:vertAlign w:val="superscript"/>
        </w:rPr>
        <w:footnoteReference w:id="4"/>
      </w:r>
      <w:r>
        <w:t xml:space="preserve">; tình hình dịch bệnh được kiểm soát tốt, không xuất hiện các ổ dịch lớn ảnh hưởng đến công tác phát triển đàn vật nuôi</w:t>
      </w:r>
      <w:r>
        <w:rPr>
          <w:vertAlign w:val="superscript"/>
        </w:rPr>
        <w:t xml:space="preserve"> </w:t>
      </w:r>
      <w:r>
        <w:rPr>
          <w:vertAlign w:val="superscript"/>
        </w:rPr>
        <w:footnoteReference w:id="5"/>
      </w:r>
      <w:r>
        <w:t xml:space="preserve">. </w:t>
      </w:r>
      <w:r>
        <w:rPr>
          <w:rFonts w:eastAsia="SimSun"/>
          <w:shd w:val="clear" w:color="auto" w:fill="ffffff"/>
        </w:rPr>
        <w:t xml:space="preserve">Tình hình tiêu thụ các mặt hàng nông sản trong tháng đa số giảm so với cùng kỳ tháng trước; riêng giá mít, vịt hơi, trứng gà tăng so với cùng kỳ tháng trước; </w:t>
      </w:r>
      <w:r>
        <w:rPr>
          <w:rFonts w:eastAsia="Calibri"/>
          <w:lang w:val="nl-NL"/>
        </w:rPr>
        <w:t xml:space="preserve">giá bán các sản phẩm chăn nuôi dao động nhẹ so với cùng kỳ</w:t>
      </w:r>
      <w:r>
        <w:rPr>
          <w:rStyle w:val="2063"/>
          <w:rFonts w:eastAsia="Calibri"/>
          <w:lang w:val="nl-NL"/>
        </w:rPr>
        <w:footnoteReference w:id="6"/>
      </w:r>
      <w:r>
        <w:rPr>
          <w:rFonts w:eastAsia="SimSun"/>
          <w:shd w:val="clear" w:color="auto" w:fill="ffffff"/>
        </w:rPr>
        <w:t xml:space="preserve">.</w:t>
      </w:r>
      <w:r>
        <w:rPr>
          <w:shd w:val="clear" w:color="auto" w:fill="ffffff"/>
        </w:rPr>
        <w:t xml:space="preserve"> Nuôi trồng thủy sản tiếp tục đem lại hiệu quả, sản lượng </w:t>
      </w:r>
      <w:r>
        <w:rPr>
          <w:rFonts w:eastAsia="Calibri"/>
          <w:bCs/>
          <w:lang w:val="da-DK"/>
        </w:rPr>
        <w:t xml:space="preserve">129.408 </w:t>
      </w:r>
      <w:r>
        <w:t xml:space="preserve">tấn, đạt </w:t>
      </w:r>
      <w:r>
        <w:rPr>
          <w:rFonts w:eastAsia="Calibri"/>
          <w:bCs/>
          <w:lang w:val="da-DK"/>
        </w:rPr>
        <w:t xml:space="preserve">72,2</w:t>
      </w:r>
      <w:r>
        <w:t xml:space="preserve">% kế hoạch và tăng 27% so cùng kỳ</w:t>
      </w:r>
      <w:r>
        <w:rPr>
          <w:vertAlign w:val="superscript"/>
        </w:rPr>
        <w:footnoteReference w:id="7"/>
      </w:r>
      <w:r>
        <w:rPr>
          <w:shd w:val="clear" w:color="auto" w:fill="ffffff"/>
        </w:rPr>
        <w:t xml:space="preserve">. Trong tháng, </w:t>
      </w:r>
      <w:r>
        <w:rPr>
          <w:lang w:val="fr"/>
        </w:rPr>
        <w:t xml:space="preserve">không công nhận </w:t>
      </w:r>
      <w:r>
        <w:rPr>
          <w:lang w:val="fr"/>
        </w:rPr>
        <w:t xml:space="preserve">thêm xã nông thôn mới, sản phẩm OCOP. </w:t>
      </w:r>
      <w:r>
        <w:rPr>
          <w:rFonts w:eastAsia="SimSun"/>
          <w:lang w:val="fr"/>
        </w:rPr>
        <w:t xml:space="preserve">Lũy kế đến nay, có 67/82 xã đạt chuẩn nông thôn mới (chiếm 82% số xã toàn tỉnh); 05/67 xã đạt chuẩn nông thôn mới nâng cao (chiếm 7,5</w:t>
      </w:r>
      <w:r>
        <w:rPr>
          <w:rFonts w:eastAsia="SimSun"/>
          <w:lang w:val="fr"/>
        </w:rPr>
        <w:t xml:space="preserve">% số xã toàn tỉnh); còn 15/82 xã chưa đạt chuẩn nông thôn mới (chiếm 18% số xã toàn tỉnh). Toàn tỉnh sau hợp nhất có 392 sản phẩm OCOP còn thời hạn (01 sản phẩm 5 sao, 73 sản phẩm 04 sao, 318 sản phẩm 3 sao); có 10 điểm trưng bày, thương mại sản phẩm OCOP.</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
          <w:bCs/>
        </w:rPr>
      </w:pPr>
      <w:r>
        <w:rPr>
          <w:b/>
          <w:bCs/>
        </w:rPr>
        <w:t xml:space="preserve">2. Lĩnh vực công nghiệp và xây dựng</w:t>
      </w:r>
      <w:r>
        <w:rPr>
          <w:b/>
          <w:bCs/>
        </w:rPr>
      </w:r>
      <w:r>
        <w:rPr>
          <w:b/>
          <w:bCs/>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i/>
        </w:rPr>
      </w:pPr>
      <w:r>
        <w:rPr>
          <w:i/>
          <w:iCs/>
        </w:rPr>
        <w:t xml:space="preserve">Hoạt động sản xuất của các doanh nghiệp trong tháng tăng mạnh so với cùng kỳ, </w:t>
      </w:r>
      <w:r>
        <w:rPr>
          <w:i/>
        </w:rPr>
        <w:t xml:space="preserve">chỉ số sản xuất công nghiệp (IIP) tháng 8</w:t>
      </w:r>
      <w:r>
        <w:rPr>
          <w:i/>
          <w:iCs/>
        </w:rPr>
        <w:t xml:space="preserve"> tăng 12,85%. Hoạt động xúc tiến đầu tư ngày càng đổi mới; tổ chức nhiều cuộc xúc tiến hiệu quả; tình hình thu hút đầu tư trong và ngoài nước tương đối ổn định.</w:t>
      </w:r>
      <w:r>
        <w:rPr>
          <w:i/>
        </w:rPr>
      </w:r>
      <w:r>
        <w:rPr>
          <w:i/>
        </w:rPr>
      </w:r>
    </w:p>
    <w:p>
      <w:pPr>
        <w:pBdr/>
        <w:tabs>
          <w:tab w:val="left" w:leader="none" w:pos="567"/>
        </w:tabs>
        <w:spacing w:after="120" w:before="120" w:line="259" w:lineRule="auto"/>
        <w:ind w:firstLine="567"/>
        <w:jc w:val="both"/>
        <w:rPr/>
      </w:pPr>
      <w:r>
        <w:rPr>
          <w:b/>
          <w:iCs/>
        </w:rPr>
        <w:t xml:space="preserve">2.1. Sản xuất công nghiệp</w:t>
      </w:r>
      <w:r>
        <w:rPr>
          <w:i/>
          <w:iCs/>
        </w:rPr>
        <w:t xml:space="preserve">:</w:t>
      </w:r>
      <w:r>
        <w:t xml:space="preserve"> Chỉ số sản xuất công nghiệp (IIP) tháng 8 năm 2025 tăng 1,62% so với tháng trước và tăng </w:t>
      </w:r>
      <w:r>
        <w:rPr>
          <w:lang w:val="vi-VN"/>
        </w:rPr>
        <w:t xml:space="preserve">12,85</w:t>
      </w:r>
      <w:r>
        <w:t xml:space="preserve">% so với cùng kỳ năm 2024. Trong đó: khai khoáng giảm </w:t>
      </w:r>
      <w:r>
        <w:rPr>
          <w:lang w:val="vi-VN"/>
        </w:rPr>
        <w:t xml:space="preserve">4,15</w:t>
      </w:r>
      <w:r>
        <w:t xml:space="preserve">%; ngành công nghiệp chế biến, chế tạo tăng </w:t>
      </w:r>
      <w:r>
        <w:rPr>
          <w:lang w:val="vi-VN"/>
        </w:rPr>
        <w:t xml:space="preserve">15,78</w:t>
      </w:r>
      <w:r>
        <w:t xml:space="preserve">%; ngành sản xuất và phân phối điện, khí đốt, nước nóng, hơi nước và điều hòa không khí tăng </w:t>
      </w:r>
      <w:r>
        <w:rPr>
          <w:lang w:val="vi-VN"/>
        </w:rPr>
        <w:t xml:space="preserve">3,26</w:t>
      </w:r>
      <w:r>
        <w:t xml:space="preserve">%; ngành cung cấp nước, quản lý và xử lý rác thải, nước thải tăng </w:t>
      </w:r>
      <w:r>
        <w:rPr>
          <w:lang w:val="vi-VN"/>
        </w:rPr>
        <w:t xml:space="preserve">7,78</w:t>
      </w:r>
      <w:r>
        <w:t xml:space="preserve">% so với cùng kỳ năm trước. </w:t>
      </w:r>
      <w:r/>
    </w:p>
    <w:p>
      <w:pPr>
        <w:pBdr/>
        <w:tabs>
          <w:tab w:val="left" w:leader="none" w:pos="567"/>
        </w:tabs>
        <w:spacing w:after="120" w:before="120" w:line="259" w:lineRule="auto"/>
        <w:ind w:firstLine="567"/>
        <w:jc w:val="both"/>
        <w:rPr/>
      </w:pPr>
      <w:r>
        <w:t xml:space="preserve">Lũy kế chỉ số sản xuất công nghiệp 8 tháng đầu năm 2025 tăng 15,17% so với cùng kỳ năm 2024. Trong đó: khai khoá</w:t>
      </w:r>
      <w:r>
        <w:t xml:space="preserve">ng giảm 4,15%; ngành công nghiệp chế biến, chế tạo tăng 15,78%; ngành sản xuất và phân phối điện, khí đốt, nước nóng, hơi nước và điều hòa không khí tăng 3,26%; ngành cung cấp nước, quản lý và xử lý rác thải, nước thải tăng 7,78% so với cùng kỳ năm trước. </w:t>
      </w:r>
      <w:r/>
    </w:p>
    <w:p>
      <w:pPr>
        <w:pBdr/>
        <w:tabs>
          <w:tab w:val="left" w:leader="none" w:pos="567"/>
        </w:tabs>
        <w:spacing w:after="120" w:before="120" w:line="259" w:lineRule="auto"/>
        <w:ind w:firstLine="567"/>
        <w:jc w:val="both"/>
        <w:rPr>
          <w:i/>
          <w:iCs/>
          <w:lang w:eastAsia="vi-VN"/>
        </w:rPr>
      </w:pPr>
      <w:r>
        <w:rPr>
          <w:b/>
          <w:iCs/>
          <w:lang w:val="vi-VN"/>
        </w:rPr>
        <w:t xml:space="preserve">2.2. Đầu tư công tiếp tục được tập trung chỉ đạo quyết liệt</w:t>
      </w:r>
      <w:r>
        <w:rPr>
          <w:i/>
          <w:iCs/>
          <w:lang w:val="vi-VN"/>
        </w:rPr>
        <w:t xml:space="preserve">: </w:t>
      </w:r>
      <w:r>
        <w:rPr>
          <w:lang w:val="vi-VN"/>
        </w:rPr>
        <w:t xml:space="preserve">Tổng vốn đã phân bổ năm 2025 là </w:t>
      </w:r>
      <w:r>
        <w:t xml:space="preserve">16.496,273 </w:t>
      </w:r>
      <w:r>
        <w:rPr>
          <w:lang w:val="vi-VN"/>
        </w:rPr>
        <w:t xml:space="preserve">tỷ đồng. Đến ngày 27/</w:t>
      </w:r>
      <w:r>
        <w:t xml:space="preserve">8</w:t>
      </w:r>
      <w:r>
        <w:rPr>
          <w:lang w:val="vi-VN"/>
        </w:rPr>
        <w:t xml:space="preserve">/2025, giải ngân </w:t>
      </w:r>
      <w:r>
        <w:rPr>
          <w:lang w:eastAsia="vi-VN"/>
        </w:rPr>
        <w:t xml:space="preserve">8.492,778</w:t>
      </w:r>
      <w:r>
        <w:rPr>
          <w:lang w:val="vi-VN"/>
        </w:rPr>
        <w:t xml:space="preserve"> tỷ đồng, đạt 53,06% kế hoạch Thủ tướng Chính phủ giao, đạt 51,48% kế hoạch </w:t>
      </w:r>
      <w:r>
        <w:t xml:space="preserve">Ủy ban nhân dân (</w:t>
      </w:r>
      <w:r>
        <w:rPr>
          <w:lang w:val="vi-VN"/>
        </w:rPr>
        <w:t xml:space="preserve">UBND</w:t>
      </w:r>
      <w:r>
        <w:t xml:space="preserve">)</w:t>
      </w:r>
      <w:r>
        <w:rPr>
          <w:lang w:val="vi-VN"/>
        </w:rPr>
        <w:t xml:space="preserve"> tỉnh đã phân bổ (cùng kỳ giải ngân 54,89% kế hoạch).</w:t>
      </w:r>
      <w:r>
        <w:rPr>
          <w:i/>
          <w:iCs/>
          <w:lang w:val="vi-VN" w:eastAsia="vi-VN"/>
        </w:rPr>
        <w:t xml:space="preserve"> </w:t>
      </w:r>
      <w:r>
        <w:rPr>
          <w:i/>
          <w:iCs/>
          <w:lang w:eastAsia="vi-VN"/>
        </w:rPr>
      </w:r>
      <w:r>
        <w:rPr>
          <w:i/>
          <w:iCs/>
          <w:lang w:eastAsia="vi-VN"/>
        </w:rPr>
      </w:r>
    </w:p>
    <w:p>
      <w:pPr>
        <w:pBdr/>
        <w:tabs>
          <w:tab w:val="left" w:leader="none" w:pos="567"/>
        </w:tabs>
        <w:spacing w:after="120" w:before="120" w:line="259" w:lineRule="auto"/>
        <w:ind w:firstLine="567"/>
        <w:jc w:val="both"/>
        <w:rPr/>
      </w:pPr>
      <w:r>
        <w:rPr>
          <w:i/>
          <w:iCs/>
        </w:rPr>
        <w:t xml:space="preserve">* Các Chương trình mục tiêu quốc gia: </w:t>
      </w:r>
      <w:r>
        <w:rPr>
          <w:bCs/>
          <w:lang w:eastAsia="vi-VN"/>
        </w:rPr>
        <w:t xml:space="preserve">Kế hoạch vốn Chương trình mục tiêu quốc gi</w:t>
      </w:r>
      <w:r>
        <w:rPr>
          <w:bCs/>
          <w:lang w:eastAsia="vi-VN"/>
        </w:rPr>
        <w:t xml:space="preserve">a năm 2025 giao 352,596 tỷ đồng</w:t>
      </w:r>
      <w:r>
        <w:rPr>
          <w:rStyle w:val="2063"/>
          <w:bCs/>
          <w:lang w:eastAsia="vi-VN"/>
        </w:rPr>
        <w:footnoteReference w:id="8"/>
      </w:r>
      <w:r>
        <w:rPr>
          <w:lang w:eastAsia="vi-VN"/>
        </w:rPr>
        <w:t xml:space="preserve">. Đến ngày 27/8/2025, giải ngân 211,498 tỷ đồng, đạt 59,98% kế hoạch, trong đó, </w:t>
      </w:r>
      <w:r>
        <w:rPr>
          <w:lang w:val="vi-VN" w:eastAsia="vi-VN"/>
        </w:rPr>
        <w:t xml:space="preserve">vốn Chương trình mục tiêu quốc gia xây dựng nông thôn mới giải ngân </w:t>
      </w:r>
      <w:r>
        <w:rPr>
          <w:shd w:val="clear" w:color="auto" w:fill="ffffff"/>
        </w:rPr>
        <w:t xml:space="preserve">208,858</w:t>
      </w:r>
      <w:r>
        <w:rPr>
          <w:shd w:val="clear" w:color="auto" w:fill="ffffff"/>
          <w:lang w:val="vi-VN"/>
        </w:rPr>
        <w:t xml:space="preserve"> tỷ đồng, đạt </w:t>
      </w:r>
      <w:r>
        <w:rPr>
          <w:shd w:val="clear" w:color="auto" w:fill="ffffff"/>
        </w:rPr>
        <w:t xml:space="preserve">61,22</w:t>
      </w:r>
      <w:r>
        <w:rPr>
          <w:shd w:val="clear" w:color="auto" w:fill="ffffff"/>
          <w:lang w:val="vi-VN"/>
        </w:rPr>
        <w:t xml:space="preserve">% kế hoạch</w:t>
      </w:r>
      <w:r>
        <w:rPr>
          <w:lang w:val="vi-VN" w:eastAsia="vi-VN"/>
        </w:rPr>
        <w:t xml:space="preserve">, vốn Chương trình mục tiêu quốc gia giảm nghèo bền vững </w:t>
      </w:r>
      <w:r>
        <w:rPr>
          <w:lang w:eastAsia="vi-VN"/>
        </w:rPr>
        <w:t xml:space="preserve">giải ngân 30 triệu đồng, đạt 1,03%, vốn </w:t>
      </w:r>
      <w:r>
        <w:rPr>
          <w:lang w:val="vi-VN" w:eastAsia="vi-VN"/>
        </w:rPr>
        <w:t xml:space="preserve">Chương trình mục tiêu quốc gia</w:t>
      </w:r>
      <w:r>
        <w:rPr>
          <w:lang w:eastAsia="vi-VN"/>
        </w:rPr>
        <w:t xml:space="preserve"> phát triển </w:t>
      </w:r>
      <w:r>
        <w:rPr>
          <w:lang w:val="vi-VN" w:eastAsia="vi-VN"/>
        </w:rPr>
        <w:t xml:space="preserve">kinh tế - xã hội</w:t>
      </w:r>
      <w:r>
        <w:rPr>
          <w:lang w:eastAsia="vi-VN"/>
        </w:rPr>
        <w:t xml:space="preserve"> vùng đồng bào dân tộc thiểu số và miền núi giải ngân 2,611 tỷ đồng, đạt 30,72% kế hoạch</w:t>
      </w:r>
      <w:r>
        <w:t xml:space="preserve">.</w:t>
      </w:r>
      <w:r/>
    </w:p>
    <w:p>
      <w:pPr>
        <w:pBdr/>
        <w:tabs>
          <w:tab w:val="left" w:leader="none" w:pos="567"/>
        </w:tabs>
        <w:spacing w:after="120" w:before="120" w:line="259" w:lineRule="auto"/>
        <w:ind w:firstLine="567"/>
        <w:jc w:val="both"/>
        <w:rPr/>
      </w:pPr>
      <w:r>
        <w:rPr>
          <w:b/>
        </w:rPr>
        <w:t xml:space="preserve">2.3</w:t>
      </w:r>
      <w:r>
        <w:t xml:space="preserve">. Hoạt động xúc tiến đầu tư tiếp tục được đẩy mạnh, tạo điều kiện thuận lợi cho các doanh nghiệp trong và ngoài nước tiếp cận cơ hội đầu tư. Trong tháng, </w:t>
      </w:r>
      <w:r>
        <w:t xml:space="preserve">tỉnh đã đón tiếp và làm việc với nhiều nhà đầu tư quan tâm đến môi trường đầu tư và phát triển dự án ở Tây Ninh</w:t>
      </w:r>
      <w:r>
        <w:rPr>
          <w:vertAlign w:val="superscript"/>
        </w:rPr>
        <w:footnoteReference w:id="9"/>
      </w:r>
      <w:r>
        <w:t xml:space="preserve">. T</w:t>
      </w:r>
      <w:r>
        <w:rPr>
          <w:lang w:val="vi-VN"/>
        </w:rPr>
        <w:t xml:space="preserve">ỉnh đã tổ chức thành công Lễ khởi công các dự án, công trình trọng điểm </w:t>
      </w:r>
      <w:r>
        <w:rPr>
          <w:bCs/>
          <w:iCs/>
          <w:lang w:val="vi-VN"/>
        </w:rPr>
        <w:t xml:space="preserve">Kỷ niệm 80 năm Quốc khánh Nước Cộng hòa Xã hội</w:t>
      </w:r>
      <w:r>
        <w:rPr>
          <w:bCs/>
          <w:iCs/>
          <w:lang w:val="vi-VN"/>
        </w:rPr>
        <w:t xml:space="preserve"> Chủ nghĩa Việt Nam (02/9/1945 </w:t>
      </w:r>
      <w:r>
        <w:rPr>
          <w:bCs/>
          <w:iCs/>
        </w:rPr>
        <w:t xml:space="preserve">-</w:t>
      </w:r>
      <w:r>
        <w:rPr>
          <w:bCs/>
          <w:iCs/>
          <w:lang w:val="vi-VN"/>
        </w:rPr>
        <w:t xml:space="preserve"> 02/9/2025)</w:t>
      </w:r>
      <w:r>
        <w:rPr>
          <w:rStyle w:val="2063"/>
          <w:bCs/>
          <w:iCs/>
          <w:lang w:val="vi-VN"/>
        </w:rPr>
        <w:footnoteReference w:id="10"/>
      </w:r>
      <w:r>
        <w:rPr>
          <w:bCs/>
          <w:iCs/>
        </w:rPr>
        <w:t xml:space="preserve">. </w:t>
      </w:r>
      <w:r>
        <w:rPr>
          <w:bCs/>
          <w:lang w:val="vi-VN"/>
        </w:rPr>
        <w:t xml:space="preserve">Công tác cải thiện môi trường đầu tư, tháo gỡ khó khăn cho doanh nghiệp tiếp tục được quan tâm sâu sát, triển khai đồng bộ và phát huy hiệu quả</w:t>
      </w:r>
      <w:r>
        <w:rPr>
          <w:bCs/>
        </w:rPr>
        <w:t xml:space="preserve">; t</w:t>
      </w:r>
      <w:r>
        <w:rPr>
          <w:bCs/>
          <w:lang w:val="vi-VN"/>
        </w:rPr>
        <w:t xml:space="preserve">rong thời gian tới, dự kiến sẽ tổ chức các Hội nghị đối thoại với Doanh nghiệp FDI đang hoạt động trên địa bàn</w:t>
      </w:r>
      <w:r>
        <w:rPr>
          <w:bCs/>
        </w:rPr>
        <w:t xml:space="preserve">, </w:t>
      </w:r>
      <w:r>
        <w:rPr>
          <w:bCs/>
          <w:lang w:val="vi-VN"/>
        </w:rPr>
        <w:t xml:space="preserve">Hội nghị đối thoại với hiệp hội, </w:t>
      </w:r>
      <w:r>
        <w:rPr>
          <w:bCs/>
          <w:lang w:val="vi-VN"/>
        </w:rPr>
        <w:t xml:space="preserve">Hội và doanh nghiệp trong nước </w:t>
      </w:r>
      <w:r>
        <w:rPr>
          <w:bCs/>
          <w:lang w:val="vi-VN"/>
        </w:rPr>
        <w:t xml:space="preserve">nhằm kịp thời tiếp nhận, xử lý những khó khăn, vướng mắc phát sinh trong bối cảnh chính quyền địa phương hai cấp sau sáp nhập đang tích cực nâng cao chất lượng điều hành, phục vụ người dân và doanh nghiệp</w:t>
      </w:r>
      <w:r>
        <w:t xml:space="preserve">.</w:t>
      </w:r>
      <w:r/>
    </w:p>
    <w:p>
      <w:pPr>
        <w:pBdr>
          <w:top w:val="none" w:color="000000" w:sz="0" w:space="0"/>
          <w:left w:val="none" w:color="000000" w:sz="0" w:space="0"/>
          <w:bottom w:val="none" w:color="000000" w:sz="0" w:space="0"/>
          <w:right w:val="none" w:color="000000" w:sz="0" w:space="0"/>
          <w:between w:val="none" w:color="000000" w:sz="0" w:space="0"/>
        </w:pBdr>
        <w:tabs>
          <w:tab w:val="left" w:leader="none" w:pos="567"/>
        </w:tabs>
        <w:spacing w:after="120" w:before="120" w:line="259" w:lineRule="auto"/>
        <w:ind w:firstLine="567"/>
        <w:jc w:val="both"/>
        <w:rPr/>
      </w:pPr>
      <w:r>
        <w:rPr>
          <w:i/>
          <w:iCs/>
        </w:rPr>
        <w:t xml:space="preserve">- Đầu tư trong nước: </w:t>
      </w:r>
      <w:r>
        <w:t xml:space="preserve">Trong tháng, thành lập mới 748 doanh nghiệp </w:t>
      </w:r>
      <w:r>
        <w:rPr>
          <w:i/>
        </w:rPr>
        <w:t xml:space="preserve">(tăng 87% so cùng kỳ)</w:t>
      </w:r>
      <w:r>
        <w:t xml:space="preserve">, với tổng số vốn đăng ký 4.248 tỷ đồng </w:t>
      </w:r>
      <w:r>
        <w:rPr>
          <w:i/>
        </w:rPr>
        <w:t xml:space="preserve">(tăng 19%)</w:t>
      </w:r>
      <w:r>
        <w:t xml:space="preserve">; đã giải thể 76 doanh nghiệp </w:t>
      </w:r>
      <w:r>
        <w:rPr>
          <w:i/>
        </w:rPr>
        <w:t xml:space="preserve">(tăng 58% so cùng kỳ)</w:t>
      </w:r>
      <w:r>
        <w:t xml:space="preserve">; tạm ngừng kinh doanh 80 doanh nghiệp </w:t>
      </w:r>
      <w:r>
        <w:rPr>
          <w:i/>
        </w:rPr>
        <w:t xml:space="preserve">(giảm 2% so cùng kỳ)</w:t>
      </w:r>
      <w:r>
        <w:t xml:space="preserve">; số doanh nghiệp hoạt động trở lại 43 doanh nghiệp </w:t>
      </w:r>
      <w:r>
        <w:rPr>
          <w:i/>
        </w:rPr>
        <w:t xml:space="preserve">(giảm 23% so cùng kỳ)</w:t>
      </w:r>
      <w:r>
        <w:t xml:space="preserve">. Lũy kế từ đầu năm 2025: thành lập mới 2.612 doanh nghiệp (</w:t>
      </w:r>
      <w:r>
        <w:rPr>
          <w:i/>
        </w:rPr>
        <w:t xml:space="preserve">tăng 51% so cùng kỳ)</w:t>
      </w:r>
      <w:r>
        <w:t xml:space="preserve">, với tổng vốn 15.942 tỷ đồng </w:t>
      </w:r>
      <w:r>
        <w:rPr>
          <w:i/>
        </w:rPr>
        <w:t xml:space="preserve">(tăng 141% so cùng kỳ)</w:t>
      </w:r>
      <w:r>
        <w:t xml:space="preserve">; tạm ngưng hoạt động 267 doanh nghiệp </w:t>
      </w:r>
      <w:r>
        <w:rPr>
          <w:i/>
        </w:rPr>
        <w:t xml:space="preserve">(tăng 13% so cùng kỳ)</w:t>
      </w:r>
      <w:r>
        <w:t xml:space="preserve">; giải thể 209 doanh nghiệp </w:t>
      </w:r>
      <w:r>
        <w:rPr>
          <w:i/>
        </w:rPr>
        <w:t xml:space="preserve">(tăng 27% so cùng kỳ)</w:t>
      </w:r>
      <w:r>
        <w:t xml:space="preserve">. Đến nay, trên địa bàn tỉnh có 38.137 doanh nghiệp đăng ký hoạt động với tổng vốn đăng ký trên 916.832 tỷ đồng; trong đó, có 24.238 doanh nghiệp đang hoạt động thực tế, với tổng vốn 766.311 tỷ đồng. Trong tháng, thành lập mới 850 hộ kinh doanh </w:t>
      </w:r>
      <w:r>
        <w:rPr>
          <w:i/>
        </w:rPr>
        <w:t xml:space="preserve">(tăng 8%)</w:t>
      </w:r>
      <w:r>
        <w:t xml:space="preserve">, với số vốn đăng ký 102 tỷ đồng; tổng số hộ kinh doanh trên địa bàn tỉnh là 93.030 hộ kinh doanh.</w:t>
      </w:r>
      <w:r/>
    </w:p>
    <w:p>
      <w:pPr>
        <w:pBdr>
          <w:top w:val="none" w:color="000000" w:sz="0" w:space="0"/>
          <w:left w:val="none" w:color="000000" w:sz="0" w:space="0"/>
          <w:bottom w:val="none" w:color="000000" w:sz="0" w:space="0"/>
          <w:right w:val="none" w:color="000000" w:sz="0" w:space="0"/>
          <w:between w:val="none" w:color="000000" w:sz="0" w:space="0"/>
        </w:pBdr>
        <w:tabs>
          <w:tab w:val="left" w:leader="none" w:pos="567"/>
        </w:tabs>
        <w:spacing w:after="120" w:before="120" w:line="259" w:lineRule="auto"/>
        <w:ind w:firstLine="567"/>
        <w:jc w:val="both"/>
        <w:rPr/>
      </w:pPr>
      <w:r>
        <w:t xml:space="preserve">Cấp mới 05 dự án đầu tư trong nước </w:t>
      </w:r>
      <w:r>
        <w:rPr>
          <w:i/>
        </w:rPr>
        <w:t xml:space="preserve">(tăng 01 dự án)</w:t>
      </w:r>
      <w:r>
        <w:t xml:space="preserve">, tổng vốn đăng ký mới là </w:t>
      </w:r>
      <w:r>
        <w:rPr>
          <w:lang w:val="pt-BR"/>
        </w:rPr>
        <w:t xml:space="preserve">414,49 </w:t>
      </w:r>
      <w:r>
        <w:t xml:space="preserve">tỷ đồng </w:t>
      </w:r>
      <w:r>
        <w:rPr>
          <w:i/>
        </w:rPr>
        <w:t xml:space="preserve">(tăng 324,79</w:t>
      </w:r>
      <w:r>
        <w:t xml:space="preserve"> </w:t>
      </w:r>
      <w:r>
        <w:rPr>
          <w:i/>
        </w:rPr>
        <w:t xml:space="preserve">tỷ đồng)</w:t>
      </w:r>
      <w:r>
        <w:t xml:space="preserve">; điều chỉnh 02</w:t>
      </w:r>
      <w:r>
        <w:rPr>
          <w:bCs/>
        </w:rPr>
        <w:t xml:space="preserve"> </w:t>
      </w:r>
      <w:r>
        <w:t xml:space="preserve">dự án </w:t>
      </w:r>
      <w:r>
        <w:rPr>
          <w:i/>
        </w:rPr>
        <w:t xml:space="preserve">(giảm 08 dự án)</w:t>
      </w:r>
      <w:r>
        <w:t xml:space="preserve">, với tổng vốn điều chỉnh tăng </w:t>
      </w:r>
      <w:r>
        <w:rPr>
          <w:lang w:val="pt-BR"/>
        </w:rPr>
        <w:t xml:space="preserve">165,46 </w:t>
      </w:r>
      <w:r>
        <w:t xml:space="preserve">tỷ đồng </w:t>
      </w:r>
      <w:r>
        <w:rPr>
          <w:i/>
        </w:rPr>
        <w:t xml:space="preserve">(tăng 133,36</w:t>
      </w:r>
      <w:r>
        <w:t xml:space="preserve"> </w:t>
      </w:r>
      <w:r>
        <w:rPr>
          <w:i/>
        </w:rPr>
        <w:t xml:space="preserve">tỷ đồng)</w:t>
      </w:r>
      <w:r>
        <w:t xml:space="preserve">. Lũy kế từ đầu năm, cấp mới 121 dự án </w:t>
      </w:r>
      <w:r>
        <w:rPr>
          <w:i/>
        </w:rPr>
        <w:t xml:space="preserve">(tăng 76 dự án)</w:t>
      </w:r>
      <w:r>
        <w:t xml:space="preserve">, tổng vốn đăng ký mới là </w:t>
      </w:r>
      <w:r>
        <w:rPr>
          <w:lang w:val="pt-BR"/>
        </w:rPr>
        <w:t xml:space="preserve">27.297,44 </w:t>
      </w:r>
      <w:r>
        <w:t xml:space="preserve">tỷ </w:t>
      </w:r>
      <w:r>
        <w:t xml:space="preserve">đồng </w:t>
      </w:r>
      <w:r>
        <w:rPr>
          <w:i/>
        </w:rPr>
        <w:t xml:space="preserve">(giảm </w:t>
      </w:r>
      <w:r>
        <w:rPr>
          <w:i/>
          <w:lang w:val="pt-BR"/>
        </w:rPr>
        <w:t xml:space="preserve">73.864,41</w:t>
      </w:r>
      <w:r>
        <w:rPr>
          <w:lang w:val="pt-BR"/>
        </w:rPr>
        <w:t xml:space="preserve"> </w:t>
      </w:r>
      <w:r>
        <w:rPr>
          <w:i/>
        </w:rPr>
        <w:t xml:space="preserve">tỷ đồng)</w:t>
      </w:r>
      <w:r>
        <w:t xml:space="preserve">; điều chỉnh </w:t>
      </w:r>
      <w:r>
        <w:rPr>
          <w:bCs/>
        </w:rPr>
        <w:t xml:space="preserve">52 </w:t>
      </w:r>
      <w:r>
        <w:t xml:space="preserve">dự án </w:t>
      </w:r>
      <w:r>
        <w:rPr>
          <w:i/>
        </w:rPr>
        <w:t xml:space="preserve">(tăng 25 dự án)</w:t>
      </w:r>
      <w:r>
        <w:t xml:space="preserve">, với tổng vốn điều chỉnh là </w:t>
      </w:r>
      <w:r>
        <w:rPr>
          <w:lang w:val="pt-BR"/>
        </w:rPr>
        <w:t xml:space="preserve">18.388,59 </w:t>
      </w:r>
      <w:r>
        <w:t xml:space="preserve">tỷ đồng </w:t>
      </w:r>
      <w:r>
        <w:rPr>
          <w:i/>
        </w:rPr>
        <w:t xml:space="preserve">(tăng </w:t>
      </w:r>
      <w:r>
        <w:rPr>
          <w:i/>
          <w:lang w:val="pt-BR"/>
        </w:rPr>
        <w:t xml:space="preserve">17.286,64</w:t>
      </w:r>
      <w:r>
        <w:rPr>
          <w:lang w:val="pt-BR"/>
        </w:rPr>
        <w:t xml:space="preserve"> </w:t>
      </w:r>
      <w:r>
        <w:rPr>
          <w:i/>
        </w:rPr>
        <w:t xml:space="preserve">tỷ đồng)</w:t>
      </w:r>
      <w:r>
        <w:t xml:space="preserve">. Đến nay, trên địa bàn tỉnh có </w:t>
      </w:r>
      <w:r>
        <w:rPr>
          <w:lang w:val="pt-BR"/>
        </w:rPr>
        <w:t xml:space="preserve">3.080 </w:t>
      </w:r>
      <w:r>
        <w:t xml:space="preserve">dự án với số vốn đăng ký </w:t>
      </w:r>
      <w:r>
        <w:rPr>
          <w:lang w:val="pt-BR"/>
        </w:rPr>
        <w:t xml:space="preserve">689.294,95 </w:t>
      </w:r>
      <w:r>
        <w:t xml:space="preserve">tỷ đồng. </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i/>
          <w:iCs/>
        </w:rPr>
        <w:t xml:space="preserve">- Đầu tư nước ngoài: </w:t>
      </w:r>
      <w:r>
        <w:t xml:space="preserve">Trong tháng, cấp mới 19 dự án FDI </w:t>
      </w:r>
      <w:r>
        <w:rPr>
          <w:i/>
        </w:rPr>
        <w:t xml:space="preserve">(tăng 05</w:t>
      </w:r>
      <w:r>
        <w:rPr>
          <w:i/>
          <w:lang w:val="vi-VN"/>
        </w:rPr>
        <w:t xml:space="preserve"> </w:t>
      </w:r>
      <w:r>
        <w:rPr>
          <w:i/>
        </w:rPr>
        <w:t xml:space="preserve">dự án)</w:t>
      </w:r>
      <w:r>
        <w:t xml:space="preserve">, vốn đầu tư cấp mới </w:t>
      </w:r>
      <w:r>
        <w:rPr>
          <w:lang w:val="pt-BR"/>
        </w:rPr>
        <w:t xml:space="preserve">32,67 </w:t>
      </w:r>
      <w:r>
        <w:t xml:space="preserve">triệu USD </w:t>
      </w:r>
      <w:r>
        <w:rPr>
          <w:i/>
        </w:rPr>
        <w:t xml:space="preserve">(giảm 107,55</w:t>
      </w:r>
      <w:r>
        <w:t xml:space="preserve"> </w:t>
      </w:r>
      <w:r>
        <w:rPr>
          <w:i/>
        </w:rPr>
        <w:t xml:space="preserve">triệu USD)</w:t>
      </w:r>
      <w:r>
        <w:t xml:space="preserve">; điều chỉnh vốn cho 09 dự án </w:t>
      </w:r>
      <w:r>
        <w:rPr>
          <w:i/>
        </w:rPr>
        <w:t xml:space="preserve">(giảm 01 dự án)</w:t>
      </w:r>
      <w:r>
        <w:t xml:space="preserve">, với vốn đầu tư tăng </w:t>
      </w:r>
      <w:r>
        <w:rPr>
          <w:lang w:val="pt-BR"/>
        </w:rPr>
        <w:t xml:space="preserve">213,61 </w:t>
      </w:r>
      <w:r>
        <w:t xml:space="preserve">triệu USD </w:t>
      </w:r>
      <w:r>
        <w:rPr>
          <w:i/>
        </w:rPr>
        <w:t xml:space="preserve">(tăng </w:t>
      </w:r>
      <w:r>
        <w:rPr>
          <w:i/>
          <w:lang w:val="pt-BR"/>
        </w:rPr>
        <w:t xml:space="preserve">198,51</w:t>
      </w:r>
      <w:r>
        <w:rPr>
          <w:lang w:val="pt-BR"/>
        </w:rPr>
        <w:t xml:space="preserve"> </w:t>
      </w:r>
      <w:r>
        <w:rPr>
          <w:i/>
          <w:lang w:val="vi-VN"/>
        </w:rPr>
        <w:t xml:space="preserve">triệu USD</w:t>
      </w:r>
      <w:r>
        <w:rPr>
          <w:i/>
        </w:rPr>
        <w:t xml:space="preserve">)</w:t>
      </w:r>
      <w:r>
        <w:t xml:space="preserve">. Luỹ kế từ đầu năm, cấp mới 140 dự án </w:t>
      </w:r>
      <w:r>
        <w:rPr>
          <w:i/>
        </w:rPr>
        <w:t xml:space="preserve">(tăng 43</w:t>
      </w:r>
      <w:r>
        <w:rPr>
          <w:i/>
          <w:lang w:val="vi-VN"/>
        </w:rPr>
        <w:t xml:space="preserve"> </w:t>
      </w:r>
      <w:r>
        <w:rPr>
          <w:i/>
        </w:rPr>
        <w:t xml:space="preserve">dự án)</w:t>
      </w:r>
      <w:r>
        <w:t xml:space="preserve">, vốn đầu tư cấp mới </w:t>
      </w:r>
      <w:r>
        <w:rPr>
          <w:lang w:val="pt-BR"/>
        </w:rPr>
        <w:t xml:space="preserve">670,67 </w:t>
      </w:r>
      <w:r>
        <w:t xml:space="preserve">triệu USD </w:t>
      </w:r>
      <w:r>
        <w:rPr>
          <w:i/>
        </w:rPr>
        <w:t xml:space="preserve">(tăng </w:t>
      </w:r>
      <w:r>
        <w:rPr>
          <w:i/>
          <w:lang w:val="pt-BR"/>
        </w:rPr>
        <w:t xml:space="preserve">82,04</w:t>
      </w:r>
      <w:r>
        <w:rPr>
          <w:lang w:val="pt-BR"/>
        </w:rPr>
        <w:t xml:space="preserve"> </w:t>
      </w:r>
      <w:r>
        <w:rPr>
          <w:i/>
        </w:rPr>
        <w:t xml:space="preserve">triệu USD)</w:t>
      </w:r>
      <w:r>
        <w:t xml:space="preserve">; điều chỉnh vốn cho 122 dự án </w:t>
      </w:r>
      <w:r>
        <w:rPr>
          <w:i/>
        </w:rPr>
        <w:t xml:space="preserve">(tăng 47 dự án)</w:t>
      </w:r>
      <w:r>
        <w:t xml:space="preserve">, với vốn đầu tư tăng</w:t>
      </w:r>
      <w:r>
        <w:rPr>
          <w:bCs/>
        </w:rPr>
        <w:t xml:space="preserve"> </w:t>
      </w:r>
      <w:r>
        <w:rPr>
          <w:lang w:val="pt-BR"/>
        </w:rPr>
        <w:t xml:space="preserve">596,80 </w:t>
      </w:r>
      <w:r>
        <w:t xml:space="preserve">triệu USD </w:t>
      </w:r>
      <w:r>
        <w:rPr>
          <w:i/>
        </w:rPr>
        <w:t xml:space="preserve">(tăng </w:t>
      </w:r>
      <w:r>
        <w:rPr>
          <w:i/>
          <w:lang w:val="pt-BR"/>
        </w:rPr>
        <w:t xml:space="preserve">353,25</w:t>
      </w:r>
      <w:r>
        <w:rPr>
          <w:lang w:val="pt-BR"/>
        </w:rPr>
        <w:t xml:space="preserve"> </w:t>
      </w:r>
      <w:r>
        <w:rPr>
          <w:i/>
          <w:lang w:val="vi-VN"/>
        </w:rPr>
        <w:t xml:space="preserve">triệu USD</w:t>
      </w:r>
      <w:r>
        <w:rPr>
          <w:i/>
        </w:rPr>
        <w:t xml:space="preserve">)</w:t>
      </w:r>
      <w:r>
        <w:rPr>
          <w:iCs/>
        </w:rPr>
        <w:t xml:space="preserve">. </w:t>
      </w:r>
      <w:r>
        <w:t xml:space="preserve">Đến nay, trên địa bàn tỉnh có </w:t>
      </w:r>
      <w:r>
        <w:rPr>
          <w:lang w:val="pt-BR"/>
        </w:rPr>
        <w:t xml:space="preserve">1.912 </w:t>
      </w:r>
      <w:r>
        <w:t xml:space="preserve">dự án vốn đầu tư đăng ký là</w:t>
      </w:r>
      <w:r>
        <w:rPr>
          <w:bCs/>
        </w:rPr>
        <w:t xml:space="preserve"> </w:t>
      </w:r>
      <w:r>
        <w:rPr>
          <w:lang w:val="pt-BR"/>
        </w:rPr>
        <w:t xml:space="preserve">24.339,44</w:t>
      </w:r>
      <w:r>
        <w:rPr>
          <w:b/>
          <w:lang w:val="pt-BR"/>
        </w:rPr>
        <w:t xml:space="preserve"> </w:t>
      </w:r>
      <w:r>
        <w:t xml:space="preserve">triệu USD.</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 w:val="left" w:leader="none" w:pos="6574"/>
        </w:tabs>
        <w:spacing w:after="120" w:before="120" w:line="259" w:lineRule="auto"/>
        <w:ind w:firstLine="567"/>
        <w:jc w:val="both"/>
        <w:rPr>
          <w:b/>
          <w:bCs/>
        </w:rPr>
      </w:pPr>
      <w:r>
        <w:rPr>
          <w:b/>
          <w:iCs/>
        </w:rPr>
        <w:t xml:space="preserve">2.4. Tình hình phát triển khu, cụm công nghiệp:</w:t>
      </w:r>
      <w:r>
        <w:rPr>
          <w:b/>
          <w:bCs/>
        </w:rPr>
      </w:r>
      <w:r>
        <w:rPr>
          <w:b/>
          <w:bCs/>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shd w:val="clear" w:color="auto" w:fill="ffffff"/>
          <w:lang w:val="nl-NL"/>
        </w:rPr>
      </w:pPr>
      <w:r>
        <w:rPr>
          <w:i/>
          <w:iCs/>
        </w:rPr>
        <w:t xml:space="preserve">- </w:t>
      </w:r>
      <w:bookmarkStart w:id="1" w:name="_Hlk120623506"/>
      <w:r>
        <w:rPr>
          <w:i/>
          <w:iCs/>
        </w:rPr>
        <w:t xml:space="preserve">Đối với khu công nghiệp:</w:t>
      </w:r>
      <w:bookmarkEnd w:id="1"/>
      <w:r>
        <w:rPr>
          <w:shd w:val="clear" w:color="auto" w:fill="ffffff"/>
          <w:lang w:val="nl-NL"/>
        </w:rPr>
        <w:t xml:space="preserve"> Trong tháng, thu hút đầu tư 18 dự án; trong đó có 12 dự án FDI vốn đầu tư cấp mới là 31,73 triệu USD; 06 dự án trong nước với vốn đầu tư cấp mới là 484,81 tỷ đồng; điều chỉnh 12 dự </w:t>
      </w:r>
      <w:r>
        <w:rPr>
          <w:shd w:val="clear" w:color="auto" w:fill="ffffff"/>
          <w:lang w:val="nl-NL"/>
        </w:rPr>
        <w:t xml:space="preserve">án FDI với vốn đầu tư tăng 230,67 triệu USD; điều chỉnh 02 dự án trong nước với vốn đầu tư tăng 165,46 tỷ đồng. Lũy kế đến nay thu hút 2.500 dự án: 1.409 dự án FDI với vốn đầu tư 17.532,56 triệu USD; 1.091 dự án trong nước với vốn đầu tư 218.252,61 tỷ đồng</w:t>
      </w:r>
      <w:r>
        <w:rPr>
          <w:rStyle w:val="2063"/>
          <w:shd w:val="clear" w:color="auto" w:fill="ffffff"/>
          <w:lang w:val="nl-NL"/>
        </w:rPr>
        <w:footnoteReference w:id="11"/>
      </w:r>
      <w:r>
        <w:rPr>
          <w:shd w:val="clear" w:color="auto" w:fill="ffffff"/>
          <w:lang w:val="nl-NL"/>
        </w:rPr>
        <w:t xml:space="preserve">.</w:t>
      </w:r>
      <w:r>
        <w:rPr>
          <w:shd w:val="clear" w:color="auto" w:fill="ffffff"/>
          <w:lang w:val="nl-NL"/>
        </w:rPr>
      </w:r>
      <w:r>
        <w:rPr>
          <w:shd w:val="clear" w:color="auto" w:fill="ffffff"/>
          <w:lang w:val="nl-NL"/>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shd w:val="clear" w:color="auto" w:fill="ffffff"/>
          <w:lang w:val="nl-NL"/>
        </w:rPr>
      </w:pPr>
      <w:r>
        <w:rPr>
          <w:i/>
          <w:iCs/>
          <w:shd w:val="clear" w:color="auto" w:fill="ffffff"/>
        </w:rPr>
        <w:t xml:space="preserve">- </w:t>
      </w:r>
      <w:r>
        <w:rPr>
          <w:i/>
          <w:iCs/>
        </w:rPr>
        <w:t xml:space="preserve">Đối với cụm công nghiệp:</w:t>
      </w:r>
      <w:r>
        <w:t xml:space="preserve"> </w:t>
      </w:r>
      <w:r>
        <w:rPr>
          <w:shd w:val="clear" w:color="auto" w:fill="ffffff"/>
          <w:lang w:val="nl-NL"/>
        </w:rPr>
        <w:t xml:space="preserve">Trong tháng, không có nhà đầu tư thứ cấp thuê đất, lũy kế thu hút 513 dự án với tổng diện tích đất đã cho thuê là 646,9 ha; tỷ lệ lấp đầy của các cụm công nghiệp đang hoạt động là 82%</w:t>
      </w:r>
      <w:r>
        <w:rPr>
          <w:shd w:val="clear" w:color="auto" w:fill="ffffff"/>
          <w:vertAlign w:val="superscript"/>
          <w:lang w:val="nl-NL"/>
        </w:rPr>
        <w:footnoteReference w:id="12"/>
      </w:r>
      <w:r>
        <w:rPr>
          <w:shd w:val="clear" w:color="auto" w:fill="ffffff"/>
          <w:lang w:val="nl-NL"/>
        </w:rPr>
        <w:t xml:space="preserve">. </w:t>
      </w:r>
      <w:r>
        <w:rPr>
          <w:shd w:val="clear" w:color="auto" w:fill="ffffff"/>
          <w:lang w:val="nl-NL"/>
        </w:rPr>
      </w:r>
      <w:r>
        <w:rPr>
          <w:shd w:val="clear" w:color="auto" w:fill="ffffff"/>
          <w:lang w:val="nl-NL"/>
        </w:rPr>
      </w:r>
    </w:p>
    <w:p>
      <w:pPr>
        <w:widowControl w:val="false"/>
        <w:pBdr>
          <w:top w:val="none" w:color="000000" w:sz="0" w:space="0"/>
          <w:left w:val="none" w:color="000000" w:sz="0" w:space="0"/>
          <w:bottom w:val="none" w:color="000000" w:sz="0" w:space="1"/>
          <w:right w:val="none" w:color="000000" w:sz="0" w:space="0"/>
          <w:between w:val="none" w:color="000000" w:sz="0" w:space="0"/>
        </w:pBdr>
        <w:tabs>
          <w:tab w:val="left" w:leader="none" w:pos="567"/>
        </w:tabs>
        <w:spacing w:after="120" w:before="120" w:line="259" w:lineRule="auto"/>
        <w:ind w:firstLine="567"/>
        <w:jc w:val="both"/>
        <w:rPr/>
      </w:pPr>
      <w:r>
        <w:rPr>
          <w:b/>
          <w:iCs/>
        </w:rPr>
        <w:t xml:space="preserve">2.5 Công tác bồi thường, giải phóng mặt bằng</w:t>
      </w:r>
      <w:r>
        <w:rPr>
          <w:i/>
          <w:iCs/>
        </w:rPr>
        <w:t xml:space="preserve">:</w:t>
      </w:r>
      <w:r>
        <w:rPr>
          <w:b/>
        </w:rPr>
        <w:t xml:space="preserve"> </w:t>
      </w:r>
      <w:r>
        <w:rPr>
          <w:shd w:val="clear" w:color="auto" w:fill="ffffff"/>
          <w:lang w:val="nl-NL"/>
        </w:rPr>
        <w:t xml:space="preserve">Đến ngày 13/8/2025, trên địa bàn tỉnh Long An trước khi sáp nhập đã chi trả được 779,0635 ha. Lũy</w:t>
      </w:r>
      <w:r>
        <w:rPr>
          <w:lang w:val="nb-NO"/>
        </w:rPr>
        <w:t xml:space="preserve"> kế từ khi Tỉnh ủy ban hành Nghị quyết số 25-NQ/TU</w:t>
      </w:r>
      <w:r>
        <w:rPr>
          <w:vertAlign w:val="superscript"/>
          <w:lang w:val="nb-NO"/>
        </w:rPr>
        <w:footnoteReference w:id="13"/>
      </w:r>
      <w:r>
        <w:rPr>
          <w:lang w:val="nb-NO"/>
        </w:rPr>
        <w:t xml:space="preserve"> ngày 04/11/2021 đến nay (</w:t>
      </w:r>
      <w:r>
        <w:rPr>
          <w:i/>
          <w:lang w:val="nb-NO"/>
        </w:rPr>
        <w:t xml:space="preserve">ngày 13/8/2025</w:t>
      </w:r>
      <w:r>
        <w:rPr>
          <w:lang w:val="nb-NO"/>
        </w:rPr>
        <w:t xml:space="preserve">) đã chi trả bồi thường được </w:t>
      </w:r>
      <w:r>
        <w:rPr>
          <w:bCs/>
          <w:lang w:val="nb-NO"/>
        </w:rPr>
        <w:t xml:space="preserve">4.098,052 ha/4.000 ha; </w:t>
      </w:r>
      <w:r>
        <w:rPr>
          <w:lang w:val="nb-NO"/>
        </w:rPr>
        <w:t xml:space="preserve">đạt </w:t>
      </w:r>
      <w:r>
        <w:rPr>
          <w:bCs/>
          <w:lang w:val="nb-NO"/>
        </w:rPr>
        <w:t xml:space="preserve">102,45%</w:t>
      </w:r>
      <w:r>
        <w:rPr>
          <w:lang w:val="nb-NO"/>
        </w:rPr>
        <w:t xml:space="preserve"> so với chỉ tiêu Nghị quyết số 25-NQ/TU</w:t>
      </w:r>
      <w:r>
        <w:rPr>
          <w:vertAlign w:val="superscript"/>
          <w:lang w:val="nb-NO"/>
        </w:rPr>
        <w:footnoteReference w:id="14"/>
      </w:r>
      <w:r>
        <w:rPr>
          <w:lang w:val="nb-NO"/>
        </w:rPr>
        <w:t xml:space="preserve">. </w:t>
      </w:r>
      <w:r>
        <w:t xml:space="preserve"> </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
          <w:bCs/>
          <w:iCs/>
        </w:rPr>
      </w:pPr>
      <w:r>
        <w:rPr>
          <w:b/>
          <w:bCs/>
          <w:iCs/>
        </w:rPr>
        <w:t xml:space="preserve">3. Lĩnh vực thương mại - dịch vụ </w:t>
      </w:r>
      <w:r>
        <w:rPr>
          <w:b/>
          <w:bCs/>
          <w:iCs/>
        </w:rPr>
      </w:r>
      <w:r>
        <w:rPr>
          <w:b/>
          <w:bCs/>
          <w:iCs/>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i/>
          <w:iCs/>
        </w:rPr>
      </w:pPr>
      <w:r>
        <w:rPr>
          <w:i/>
          <w:iCs/>
        </w:rPr>
        <w:t xml:space="preserve">Hoạt động thương mại tiếp tục phát triển mạnh mẽ; tổng mức bán lẻ hàng hóa và doanh thu dịch vụ trong tháng tăng 14,76% so với cùng kỳ. Hoạt động xuất nhập khẩu tăng trưởng khá; xuất khẩu tăng </w:t>
      </w:r>
      <w:r>
        <w:rPr>
          <w:i/>
        </w:rPr>
        <w:t xml:space="preserve">3,95</w:t>
      </w:r>
      <w:r>
        <w:rPr>
          <w:i/>
          <w:iCs/>
        </w:rPr>
        <w:t xml:space="preserve">%, nhập khẩu tăng </w:t>
      </w:r>
      <w:r>
        <w:rPr>
          <w:i/>
        </w:rPr>
        <w:t xml:space="preserve">8,09</w:t>
      </w:r>
      <w:r>
        <w:rPr>
          <w:i/>
          <w:iCs/>
        </w:rPr>
        <w:t xml:space="preserve">% so với cùng kỳ. </w:t>
      </w:r>
      <w:r>
        <w:rPr>
          <w:i/>
          <w:iCs/>
        </w:rPr>
      </w:r>
      <w:r>
        <w:rPr>
          <w:i/>
          <w:iCs/>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t xml:space="preserve">- Tổng mức bán lẻ hàng hóa và doanh thu dịch vụ tiêu dùng tháng 8 năm 2025 ước đạt </w:t>
      </w:r>
      <w:r>
        <w:rPr>
          <w:shd w:val="clear" w:color="auto" w:fill="ffffff"/>
          <w:lang w:val="nl-NL"/>
        </w:rPr>
        <w:t xml:space="preserve">21.039 </w:t>
      </w:r>
      <w:r>
        <w:t xml:space="preserve">tỷ đồng, tăng </w:t>
      </w:r>
      <w:r>
        <w:rPr>
          <w:shd w:val="clear" w:color="auto" w:fill="ffffff"/>
          <w:lang w:val="nl-NL"/>
        </w:rPr>
        <w:t xml:space="preserve">0,75</w:t>
      </w:r>
      <w:r>
        <w:t xml:space="preserve">% so với tháng trước và tăng </w:t>
      </w:r>
      <w:r>
        <w:rPr>
          <w:shd w:val="clear" w:color="auto" w:fill="ffffff"/>
          <w:lang w:val="nl-NL"/>
        </w:rPr>
        <w:t xml:space="preserve">14,76</w:t>
      </w:r>
      <w:r>
        <w:t xml:space="preserve">% so với cùng kỳ. Trong đó, bán lẻ hàng hóa tăng </w:t>
      </w:r>
      <w:r>
        <w:rPr>
          <w:shd w:val="clear" w:color="auto" w:fill="ffffff"/>
          <w:lang w:val="nl-NL"/>
        </w:rPr>
        <w:t xml:space="preserve">16,35</w:t>
      </w:r>
      <w:r>
        <w:t xml:space="preserve">%; dịch vụ lưu trú tăng </w:t>
      </w:r>
      <w:r>
        <w:rPr>
          <w:shd w:val="clear" w:color="auto" w:fill="ffffff"/>
          <w:lang w:val="nl-NL"/>
        </w:rPr>
        <w:t xml:space="preserve">38,54%</w:t>
      </w:r>
      <w:r>
        <w:t xml:space="preserve">, dịch vụ ăn uống tăng </w:t>
      </w:r>
      <w:r>
        <w:rPr>
          <w:shd w:val="clear" w:color="auto" w:fill="ffffff"/>
          <w:lang w:val="nl-NL"/>
        </w:rPr>
        <w:t xml:space="preserve">14,35</w:t>
      </w:r>
      <w:r>
        <w:t xml:space="preserve">%, dịch vụ lữ hành tăng </w:t>
      </w:r>
      <w:r>
        <w:rPr>
          <w:shd w:val="clear" w:color="auto" w:fill="ffffff"/>
          <w:lang w:val="nl-NL"/>
        </w:rPr>
        <w:t xml:space="preserve">38,16</w:t>
      </w:r>
      <w:r>
        <w:t xml:space="preserve">%; dịch vụ khác tăng </w:t>
      </w:r>
      <w:r>
        <w:rPr>
          <w:shd w:val="clear" w:color="auto" w:fill="ffffff"/>
          <w:lang w:val="nl-NL"/>
        </w:rPr>
        <w:t xml:space="preserve">8,49</w:t>
      </w:r>
      <w:r>
        <w:t xml:space="preserve">% so với cùng kỳ. </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t xml:space="preserve">Luỹ kế 8 tháng đầu năm 2025, tổng mức bán lẻ hàng hóa và doanh thu dịch vụ tiêu dùng ước đạt </w:t>
      </w:r>
      <w:r>
        <w:rPr>
          <w:shd w:val="clear" w:color="auto" w:fill="ffffff"/>
          <w:lang w:val="nl-NL"/>
        </w:rPr>
        <w:t xml:space="preserve">163.506 </w:t>
      </w:r>
      <w:r>
        <w:t xml:space="preserve">tỷ đồng, tăng </w:t>
      </w:r>
      <w:r>
        <w:rPr>
          <w:shd w:val="clear" w:color="auto" w:fill="ffffff"/>
          <w:lang w:val="nl-NL"/>
        </w:rPr>
        <w:t xml:space="preserve">15,46</w:t>
      </w:r>
      <w:r>
        <w:t xml:space="preserve">% so với cùng kỳ. Trong đó, doanh thu bán lẻ hàng hóa ước đạt </w:t>
      </w:r>
      <w:r>
        <w:rPr>
          <w:shd w:val="clear" w:color="auto" w:fill="ffffff"/>
          <w:lang w:val="nl-NL"/>
        </w:rPr>
        <w:t xml:space="preserve">118.145 </w:t>
      </w:r>
      <w:r>
        <w:t xml:space="preserve">tỷ đồng, tăng </w:t>
      </w:r>
      <w:r>
        <w:rPr>
          <w:shd w:val="clear" w:color="auto" w:fill="ffffff"/>
          <w:lang w:val="nl-NL"/>
        </w:rPr>
        <w:t xml:space="preserve">16,03</w:t>
      </w:r>
      <w:r>
        <w:t xml:space="preserve">%; doanh thu dịch vụ lưu trú </w:t>
      </w:r>
      <w:r>
        <w:rPr>
          <w:shd w:val="clear" w:color="auto" w:fill="ffffff"/>
          <w:lang w:val="nl-NL"/>
        </w:rPr>
        <w:t xml:space="preserve">đạt 462 tỷ đồng, tăng 28,17%</w:t>
      </w:r>
      <w:r>
        <w:t xml:space="preserve">, ăn uống đạt </w:t>
      </w:r>
      <w:r>
        <w:rPr>
          <w:shd w:val="clear" w:color="auto" w:fill="ffffff"/>
          <w:lang w:val="nl-NL"/>
        </w:rPr>
        <w:t xml:space="preserve">17.436 tỷ đồng, tăng 13,74%</w:t>
      </w:r>
      <w:r>
        <w:t xml:space="preserve">; dịch vụ du lịch lữ hành ước đạt </w:t>
      </w:r>
      <w:r>
        <w:rPr>
          <w:shd w:val="clear" w:color="auto" w:fill="ffffff"/>
          <w:lang w:val="nl-NL"/>
        </w:rPr>
        <w:t xml:space="preserve">107 tỷ đồng, tăng 48,3%</w:t>
      </w:r>
      <w:r>
        <w:t xml:space="preserve">; doanh thu dịch vụ khác đạt </w:t>
      </w:r>
      <w:r>
        <w:rPr>
          <w:shd w:val="clear" w:color="auto" w:fill="ffffff"/>
          <w:lang w:val="nl-NL"/>
        </w:rPr>
        <w:t xml:space="preserve">27.356 tỷ đồng, tăng 13,86%</w:t>
      </w:r>
      <w:r>
        <w:t xml:space="preserve"> so với cùng kỳ. </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t xml:space="preserve">- Kim ngạch xuất nhập khẩu tháng 8</w:t>
      </w:r>
      <w:r>
        <w:rPr>
          <w:shd w:val="clear" w:color="auto" w:fill="ffffff"/>
          <w:lang w:val="nl-NL"/>
        </w:rPr>
        <w:t xml:space="preserve"> ước </w:t>
      </w:r>
      <w:r>
        <w:t xml:space="preserve">đạt </w:t>
      </w:r>
      <w:r>
        <w:rPr>
          <w:shd w:val="clear" w:color="auto" w:fill="ffffff"/>
          <w:lang w:val="nl-NL"/>
        </w:rPr>
        <w:t xml:space="preserve">2.742 </w:t>
      </w:r>
      <w:r>
        <w:t xml:space="preserve">triệu USD, trong đó, xuất khẩu ước đạt </w:t>
      </w:r>
      <w:r>
        <w:rPr>
          <w:shd w:val="clear" w:color="auto" w:fill="ffffff"/>
          <w:lang w:val="nl-NL"/>
        </w:rPr>
        <w:t xml:space="preserve">1.607 </w:t>
      </w:r>
      <w:r>
        <w:t xml:space="preserve">triệu USD</w:t>
      </w:r>
      <w:r>
        <w:t xml:space="preserve">,</w:t>
      </w:r>
      <w:r>
        <w:t xml:space="preserve"> tăng </w:t>
      </w:r>
      <w:r>
        <w:rPr>
          <w:shd w:val="clear" w:color="auto" w:fill="ffffff"/>
          <w:lang w:val="nl-NL"/>
        </w:rPr>
        <w:t xml:space="preserve">3,95</w:t>
      </w:r>
      <w:r>
        <w:t xml:space="preserve">% so với cùng kỳ; nhập khẩu ước đạt </w:t>
      </w:r>
      <w:r>
        <w:rPr>
          <w:shd w:val="clear" w:color="auto" w:fill="ffffff"/>
          <w:lang w:val="nl-NL"/>
        </w:rPr>
        <w:t xml:space="preserve">1.135 </w:t>
      </w:r>
      <w:r>
        <w:t xml:space="preserve">triệu USD</w:t>
      </w:r>
      <w:r>
        <w:t xml:space="preserve">,</w:t>
      </w:r>
      <w:r>
        <w:t xml:space="preserve"> tăng </w:t>
      </w:r>
      <w:r>
        <w:rPr>
          <w:shd w:val="clear" w:color="auto" w:fill="ffffff"/>
          <w:lang w:val="nl-NL"/>
        </w:rPr>
        <w:t xml:space="preserve">8,09</w:t>
      </w:r>
      <w:r>
        <w:t xml:space="preserve">%</w:t>
      </w:r>
      <w:r>
        <w:t xml:space="preserve"> so với cùng kỳ</w:t>
      </w:r>
      <w:r>
        <w:t xml:space="preserve">. Lũy kế, 8 tháng đầu năm, xuất khẩu đạt </w:t>
      </w:r>
      <w:r>
        <w:rPr>
          <w:shd w:val="clear" w:color="auto" w:fill="ffffff"/>
          <w:lang w:val="nl-NL"/>
        </w:rPr>
        <w:t xml:space="preserve">11.695 </w:t>
      </w:r>
      <w:r>
        <w:t xml:space="preserve">triệu USD</w:t>
      </w:r>
      <w:r>
        <w:t xml:space="preserve">,</w:t>
      </w:r>
      <w:r>
        <w:t xml:space="preserve"> tăng </w:t>
      </w:r>
      <w:r>
        <w:rPr>
          <w:shd w:val="clear" w:color="auto" w:fill="ffffff"/>
          <w:lang w:val="nl-NL"/>
        </w:rPr>
        <w:t xml:space="preserve">9,73</w:t>
      </w:r>
      <w:r>
        <w:t xml:space="preserve">%, nhập khẩu ước đạt </w:t>
      </w:r>
      <w:r>
        <w:rPr>
          <w:shd w:val="clear" w:color="auto" w:fill="ffffff"/>
          <w:lang w:val="nl-NL"/>
        </w:rPr>
        <w:t xml:space="preserve">8.952 </w:t>
      </w:r>
      <w:r>
        <w:t xml:space="preserve">triệu USD, tăng </w:t>
      </w:r>
      <w:r>
        <w:rPr>
          <w:shd w:val="clear" w:color="auto" w:fill="ffffff"/>
          <w:lang w:val="nl-NL"/>
        </w:rPr>
        <w:t xml:space="preserve">16,06</w:t>
      </w:r>
      <w:r>
        <w:t xml:space="preserve">%.</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
          <w:iCs/>
        </w:rPr>
      </w:pPr>
      <w:r>
        <w:rPr>
          <w:b/>
          <w:bCs/>
          <w:iCs/>
        </w:rPr>
        <w:t xml:space="preserve">4. Lĩnh vực tài chính - ngân hàng</w:t>
      </w:r>
      <w:r>
        <w:rPr>
          <w:b/>
          <w:iCs/>
        </w:rPr>
      </w:r>
      <w:r>
        <w:rPr>
          <w:b/>
          <w:iCs/>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i/>
          <w:iCs/>
        </w:rPr>
        <w:t xml:space="preserve">Công tác quản lý thu, chi ngân sách Nhà nước tiếp tục được tập trung chỉ đạo quyết li</w:t>
      </w:r>
      <w:r>
        <w:rPr>
          <w:i/>
          <w:iCs/>
        </w:rPr>
        <w:t xml:space="preserve">ệt, đáp ứng kịp thời kinh phí thực hiện các nhiệm vụ phát triển kinh tế - xã hội, đảm bảo an ninh quốc phòng; thu ngân sách nhà nước tăng 32,3% so với cùng kỳ. Hệ thống tổ chức tín dụng trên địa bàn hoạt động thông suốt; tỷ lệ nợ xấu được kiểm soát.</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b/>
          <w:iCs/>
        </w:rPr>
        <w:t xml:space="preserve">4.1. Về tài chính, ngân sách</w:t>
      </w:r>
      <w:r>
        <w:rPr>
          <w:i/>
          <w:iCs/>
        </w:rPr>
        <w:t xml:space="preserve">:</w:t>
      </w:r>
      <w:r>
        <w:t xml:space="preserve"> Tổng thu ngân sách nhà nước đến ngày 28/8/2025 đạt 35.598,8 tỷ đồng, đạt tỷ lệ 95,7% so với dự toán Trung ương giao, đạt tỷ lệ 94,5% so với dự toán HĐND tỉnh giao, t</w:t>
      </w:r>
      <w:r>
        <w:rPr>
          <w:rFonts w:hint="cs"/>
        </w:rPr>
        <w:t xml:space="preserve">ă</w:t>
      </w:r>
      <w:r>
        <w:t xml:space="preserve">ng 32,3% c</w:t>
      </w:r>
      <w:r>
        <w:rPr>
          <w:rFonts w:hint="eastAsia"/>
        </w:rPr>
        <w:t xml:space="preserve">ù</w:t>
      </w:r>
      <w:r>
        <w:t xml:space="preserve">ng kỳ. Trong đó: thu nội địa: 30.966,0 tỷ đồng đạt 98,7% dự toán Trung ương và đạt </w:t>
      </w:r>
      <w:r>
        <w:rPr>
          <w:lang w:val="vi-VN"/>
        </w:rPr>
        <w:t xml:space="preserve">9</w:t>
      </w:r>
      <w:r>
        <w:t xml:space="preserve">7,3% dự toán tỉnh giao, t</w:t>
      </w:r>
      <w:r>
        <w:rPr>
          <w:rFonts w:hint="cs"/>
        </w:rPr>
        <w:t xml:space="preserve">ă</w:t>
      </w:r>
      <w:r>
        <w:t xml:space="preserve">ng 34,9% so với c</w:t>
      </w:r>
      <w:r>
        <w:rPr>
          <w:rFonts w:hint="eastAsia"/>
        </w:rPr>
        <w:t xml:space="preserve">ù</w:t>
      </w:r>
      <w:r>
        <w:t xml:space="preserve">ng kỳ; thu tiền sử dụng đất 9.751,4 tỷ </w:t>
      </w:r>
      <w:r>
        <w:rPr>
          <w:rFonts w:hint="cs"/>
        </w:rPr>
        <w:t xml:space="preserve">đ</w:t>
      </w:r>
      <w:r>
        <w:t xml:space="preserve">ồng, </w:t>
      </w:r>
      <w:r>
        <w:rPr>
          <w:rFonts w:hint="cs"/>
        </w:rPr>
        <w:t xml:space="preserve">đ</w:t>
      </w:r>
      <w:r>
        <w:t xml:space="preserve">ạt 166,4% dự to</w:t>
      </w:r>
      <w:r>
        <w:rPr>
          <w:rFonts w:hint="eastAsia"/>
        </w:rPr>
        <w:t xml:space="preserve">á</w:t>
      </w:r>
      <w:r>
        <w:t xml:space="preserve">n giao v</w:t>
      </w:r>
      <w:r>
        <w:rPr>
          <w:rFonts w:hint="eastAsia"/>
        </w:rPr>
        <w:t xml:space="preserve">à</w:t>
      </w:r>
      <w:r>
        <w:t xml:space="preserve"> t</w:t>
      </w:r>
      <w:r>
        <w:rPr>
          <w:rFonts w:hint="cs"/>
        </w:rPr>
        <w:t xml:space="preserve">ă</w:t>
      </w:r>
      <w:r>
        <w:t xml:space="preserve">ng 81,8% c</w:t>
      </w:r>
      <w:r>
        <w:rPr>
          <w:rFonts w:hint="eastAsia"/>
        </w:rPr>
        <w:t xml:space="preserve">ù</w:t>
      </w:r>
      <w:r>
        <w:t xml:space="preserve">ng kỳ. </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t xml:space="preserve">Tổng chi ngân sách nhà nước đến ngày 28/8/2025: đạt là 25.931,6 </w:t>
      </w:r>
      <w:r>
        <w:rPr>
          <w:lang w:val="vi-VN"/>
        </w:rPr>
        <w:t xml:space="preserve">tỷ đồng, đạt tỷ lệ </w:t>
      </w:r>
      <w:r>
        <w:t xml:space="preserve">74,4</w:t>
      </w:r>
      <w:r>
        <w:rPr>
          <w:lang w:val="vi-VN"/>
        </w:rPr>
        <w:t xml:space="preserve">% so với dự toán Trung ương giao, đạt tỷ lệ </w:t>
      </w:r>
      <w:r>
        <w:t xml:space="preserve">73</w:t>
      </w:r>
      <w:r>
        <w:rPr>
          <w:lang w:val="vi-VN"/>
        </w:rPr>
        <w:t xml:space="preserve">% so với dự toán HĐND tỉnh giao</w:t>
      </w:r>
      <w:r>
        <w:t xml:space="preserve">, tăng 19,5% so với cùng kỳ; trong đó, chi đầu tư phát triển 12.134,8 tỷ đồng, đạt </w:t>
      </w:r>
      <w:r>
        <w:rPr>
          <w:lang w:val="vi-VN"/>
        </w:rPr>
        <w:t xml:space="preserve">9</w:t>
      </w:r>
      <w:r>
        <w:t xml:space="preserve">9,9% dự toán, tăng 9,2%; chi thường xuyên 13.786,5 tỷ đồng, đạt </w:t>
      </w:r>
      <w:r>
        <w:rPr>
          <w:lang w:val="vi-VN"/>
        </w:rPr>
        <w:t xml:space="preserve">70,2</w:t>
      </w:r>
      <w:r>
        <w:t xml:space="preserve">% dự toán, tăng 31,4%.</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i/>
        </w:rPr>
      </w:pPr>
      <w:r>
        <w:rPr>
          <w:b/>
          <w:iCs/>
        </w:rPr>
        <w:t xml:space="preserve">4.2. Về hoạt động tín dụng:</w:t>
      </w:r>
      <w:r>
        <w:rPr>
          <w:i/>
          <w:iCs/>
        </w:rPr>
        <w:t xml:space="preserve"> </w:t>
      </w:r>
      <w:r>
        <w:t xml:space="preserve">Triển khai thực hiện tốt giải pháp hỗ trợ khách hàng tiếp cận vốn tín dụng, quản lý rủi ro hoạt động cấp tín dụng, xử lý nợ xấu. Nguồn vốn huy động ước đến cuối tháng 8 đạt </w:t>
      </w:r>
      <w:r>
        <w:rPr>
          <w:lang w:val="nl-NL"/>
        </w:rPr>
        <w:t xml:space="preserve">206.885</w:t>
      </w:r>
      <w:r>
        <w:t xml:space="preserve"> tỷ đồng, tăng </w:t>
      </w:r>
      <w:r>
        <w:rPr>
          <w:lang w:val="nl-NL"/>
        </w:rPr>
        <w:t xml:space="preserve">7,65</w:t>
      </w:r>
      <w:r>
        <w:t xml:space="preserve">% so với đầu năm. Tổng dư nợ ước </w:t>
      </w:r>
      <w:r>
        <w:rPr>
          <w:lang w:val="nl-NL"/>
        </w:rPr>
        <w:t xml:space="preserve">275.262</w:t>
      </w:r>
      <w:r>
        <w:t xml:space="preserve"> tỷ đồng, tăng </w:t>
      </w:r>
      <w:r>
        <w:rPr>
          <w:lang w:val="nl-NL"/>
        </w:rPr>
        <w:t xml:space="preserve">10,82</w:t>
      </w:r>
      <w:r>
        <w:t xml:space="preserve">% so với đầu năm. Nợ xấu 5.120 tỷ đồng; tỷ lệ nợ xấu của các tổ chức tín dụng là </w:t>
      </w:r>
      <w:r>
        <w:rPr>
          <w:lang w:val="pt-BR"/>
        </w:rPr>
        <w:t xml:space="preserve">1,86</w:t>
      </w:r>
      <w:r>
        <w:t xml:space="preserve">% </w:t>
      </w:r>
      <w:r>
        <w:rPr>
          <w:i/>
        </w:rPr>
        <w:t xml:space="preserve">(theo định hướng của Ngân hàng nhà nước Việt Nam phấn đấu đưa tỷ lệ nợ xấu nội bảng xuống dưới 3%).</w:t>
      </w:r>
      <w:r>
        <w:rPr>
          <w:i/>
        </w:rPr>
      </w:r>
      <w:r>
        <w:rPr>
          <w:i/>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b/>
          <w:bCs/>
          <w:iCs/>
        </w:rPr>
        <w:t xml:space="preserve">5. Tình hình thực hiện các công trình trọng điểm, Chương trình đột phá:</w:t>
      </w:r>
      <w:r/>
    </w:p>
    <w:p>
      <w:pPr>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leader="none" w:pos="567"/>
        </w:tabs>
        <w:spacing w:after="120" w:before="120" w:line="259" w:lineRule="auto"/>
        <w:ind w:firstLine="567"/>
        <w:jc w:val="both"/>
        <w:rPr>
          <w:b/>
          <w:iCs/>
        </w:rPr>
      </w:pPr>
      <w:r>
        <w:rPr>
          <w:b/>
          <w:iCs/>
        </w:rPr>
        <w:t xml:space="preserve">5.1. Đối với các Công trình trọng điểm: </w:t>
      </w:r>
      <w:r>
        <w:rPr>
          <w:b/>
          <w:iCs/>
        </w:rPr>
      </w:r>
      <w:r>
        <w:rPr>
          <w:b/>
          <w:iCs/>
        </w:rPr>
      </w:r>
    </w:p>
    <w:p>
      <w:pPr>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leader="none" w:pos="567"/>
        </w:tabs>
        <w:spacing w:after="120" w:before="120" w:line="259" w:lineRule="auto"/>
        <w:ind w:firstLine="567"/>
        <w:jc w:val="both"/>
        <w:rPr>
          <w:iCs/>
        </w:rPr>
      </w:pPr>
      <w:r>
        <w:rPr>
          <w:i/>
          <w:iCs/>
        </w:rPr>
        <w:t xml:space="preserve">(1) Đường vành đai thành phố Tân An:</w:t>
      </w:r>
      <w:r>
        <w:rPr>
          <w:iCs/>
        </w:rPr>
        <w:t xml:space="preserve"> Đã thi công hoàn thành tuyến đường Vành đai thành phố Tân An. </w:t>
      </w:r>
      <w:r>
        <w:rPr>
          <w:iCs/>
        </w:rPr>
      </w:r>
      <w:r>
        <w:rPr>
          <w:iCs/>
        </w:rPr>
      </w:r>
    </w:p>
    <w:p>
      <w:pPr>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leader="none" w:pos="567"/>
        </w:tabs>
        <w:spacing w:after="120" w:before="120" w:line="259" w:lineRule="auto"/>
        <w:ind w:firstLine="567"/>
        <w:jc w:val="both"/>
        <w:rPr>
          <w:iCs/>
        </w:rPr>
      </w:pPr>
      <w:r>
        <w:rPr>
          <w:i/>
          <w:iCs/>
        </w:rPr>
        <w:t xml:space="preserve">(2) Đường tỉnh 830E (nút giao cao tốc đến Đường tỉnh 830):</w:t>
      </w:r>
      <w:r>
        <w:rPr>
          <w:iCs/>
        </w:rPr>
        <w:t xml:space="preserve"> </w:t>
      </w:r>
      <w:r>
        <w:rPr>
          <w:lang w:val="vi-VN" w:eastAsia="vi-VN"/>
        </w:rPr>
        <w:t xml:space="preserve">Trung tâm </w:t>
      </w:r>
      <w:r>
        <w:rPr>
          <w:lang w:eastAsia="vi-VN"/>
        </w:rPr>
        <w:t xml:space="preserve">phát triển quỹ đất và dịch vụ tài nguyên môi trường </w:t>
      </w:r>
      <w:r>
        <w:rPr>
          <w:i/>
          <w:lang w:val="vi-VN" w:eastAsia="vi-VN"/>
        </w:rPr>
        <w:t xml:space="preserve">(Sở Nông nghiệp và Môi trường) </w:t>
      </w:r>
      <w:r>
        <w:rPr>
          <w:lang w:val="vi-VN" w:eastAsia="vi-VN"/>
        </w:rPr>
        <w:t xml:space="preserve">đang tập trung triển khai thực hiện khu tái định cư ĐT.830E, hoàn thành theo kết luận số 286-TB/VPTU ngày 14/3/2025 của Thường trực Tỉnh ủy làm việc với B</w:t>
      </w:r>
      <w:r>
        <w:rPr>
          <w:lang w:eastAsia="vi-VN"/>
        </w:rPr>
        <w:t xml:space="preserve">an Thường vụ</w:t>
      </w:r>
      <w:r>
        <w:rPr>
          <w:lang w:val="vi-VN" w:eastAsia="vi-VN"/>
        </w:rPr>
        <w:t xml:space="preserve"> Huyện ủy Bến Lức</w:t>
      </w:r>
      <w:r>
        <w:rPr>
          <w:iCs/>
        </w:rPr>
        <w:t xml:space="preserve">, đồng thời tiếp tục vận động để chi trả cho người dân và về phần đường thì các nhà thầu đang thi công đoạn từ nút giao ĐT.830 đến QL.1.</w:t>
      </w:r>
      <w:r>
        <w:rPr>
          <w:iCs/>
        </w:rPr>
      </w:r>
      <w:r>
        <w:rPr>
          <w:iCs/>
        </w:rPr>
      </w:r>
    </w:p>
    <w:p>
      <w:pPr>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leader="none" w:pos="567"/>
        </w:tabs>
        <w:spacing w:after="120" w:before="120" w:line="259" w:lineRule="auto"/>
        <w:ind w:firstLine="567"/>
        <w:jc w:val="both"/>
        <w:rPr>
          <w:i/>
          <w:iCs/>
        </w:rPr>
      </w:pPr>
      <w:r>
        <w:rPr>
          <w:i/>
          <w:iCs/>
        </w:rPr>
        <w:t xml:space="preserve">(3) Đường tỉnh 827E: </w:t>
      </w:r>
      <w:r>
        <w:rPr>
          <w:i/>
          <w:iCs/>
        </w:rPr>
      </w:r>
      <w:r>
        <w:rPr>
          <w:i/>
          <w:iCs/>
        </w:rPr>
      </w:r>
    </w:p>
    <w:p>
      <w:pPr>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leader="none" w:pos="567"/>
        </w:tabs>
        <w:spacing w:after="120" w:before="120" w:line="259" w:lineRule="auto"/>
        <w:ind w:firstLine="567"/>
        <w:jc w:val="both"/>
        <w:rPr/>
      </w:pPr>
      <w:r>
        <w:rPr>
          <w:i/>
          <w:iCs/>
        </w:rPr>
        <w:t xml:space="preserve">- Đối với dự án xây dựng 03 cầu trên ĐT.827E (cầu bắc qua sông Cần Giuộc, sông Vàm Cỏ Đông, sông Vàm Cỏ Tây):</w:t>
      </w:r>
      <w:r>
        <w:rPr>
          <w:iCs/>
        </w:rPr>
        <w:t xml:space="preserve"> </w:t>
      </w:r>
      <w:r>
        <w:rPr>
          <w:iCs/>
        </w:rPr>
        <w:t xml:space="preserve">Hội đồng nhân dân (</w:t>
      </w:r>
      <w:r>
        <w:t xml:space="preserve">HĐND</w:t>
      </w:r>
      <w:r>
        <w:t xml:space="preserve">)</w:t>
      </w:r>
      <w:r>
        <w:t xml:space="preserve"> tỉnh đã phê duyệt chủ trương đầu tư tại Nghị quyết số 27/NQ-HĐND ngày 29/4/2025. </w:t>
      </w:r>
      <w:r>
        <w:rPr>
          <w:bCs/>
          <w:iCs/>
          <w:lang w:val="vi-VN" w:eastAsia="vi-VN"/>
        </w:rPr>
        <w:t xml:space="preserve">Hiện nay</w:t>
      </w:r>
      <w:r>
        <w:rPr>
          <w:bCs/>
          <w:iCs/>
          <w:lang w:eastAsia="vi-VN"/>
        </w:rPr>
        <w:t xml:space="preserve">,</w:t>
      </w:r>
      <w:r>
        <w:rPr>
          <w:bCs/>
          <w:iCs/>
          <w:lang w:val="vi-VN" w:eastAsia="vi-VN"/>
        </w:rPr>
        <w:t xml:space="preserve"> chủ đầu tư đang tổ chức</w:t>
      </w:r>
      <w:r>
        <w:rPr>
          <w:bCs/>
          <w:iCs/>
          <w:lang w:val="vi-VN" w:eastAsia="vi-VN"/>
        </w:rPr>
        <w:t xml:space="preserve"> lập báo cáo nghiên cứu khả thi</w:t>
      </w:r>
      <w:r>
        <w:rPr>
          <w:bCs/>
          <w:iCs/>
          <w:lang w:eastAsia="vi-VN"/>
        </w:rPr>
        <w:t xml:space="preserve">,</w:t>
      </w:r>
      <w:r>
        <w:rPr>
          <w:bCs/>
          <w:iCs/>
          <w:lang w:val="vi-VN" w:eastAsia="vi-VN"/>
        </w:rPr>
        <w:t xml:space="preserve"> </w:t>
      </w:r>
      <w:r>
        <w:rPr>
          <w:bCs/>
          <w:iCs/>
          <w:lang w:eastAsia="vi-VN"/>
        </w:rPr>
        <w:t xml:space="preserve">đ</w:t>
      </w:r>
      <w:r>
        <w:rPr>
          <w:bCs/>
          <w:iCs/>
          <w:lang w:val="vi-VN" w:eastAsia="vi-VN"/>
        </w:rPr>
        <w:t xml:space="preserve">ã gửi công văn trình Bộ Tài chính thông báo chính thức cho nhà tài trợ ngân hàng KEXIM làm cơ sở thẩm định và phê duyệt trong quý IV/2025, ký hiệp định vay vốn trong quý I/2026</w:t>
      </w:r>
      <w:r>
        <w:rPr>
          <w:bCs/>
          <w:iCs/>
          <w:lang w:eastAsia="vi-VN"/>
        </w:rPr>
        <w:t xml:space="preserve">.</w:t>
      </w:r>
      <w:r/>
    </w:p>
    <w:p>
      <w:pPr>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leader="none" w:pos="567"/>
        </w:tabs>
        <w:spacing w:after="120" w:before="120" w:line="259" w:lineRule="auto"/>
        <w:ind w:firstLine="567"/>
        <w:jc w:val="both"/>
        <w:rPr>
          <w:iCs/>
        </w:rPr>
      </w:pPr>
      <w:r>
        <w:rPr>
          <w:i/>
          <w:iCs/>
        </w:rPr>
        <w:t xml:space="preserve">- Đối với dự án xây dựng đường dẫn vào 03 cầu trên 827E:</w:t>
      </w:r>
      <w:r>
        <w:rPr>
          <w:iCs/>
        </w:rPr>
        <w:t xml:space="preserve"> Ban QLDA Đầu tư xây dựng </w:t>
      </w:r>
      <w:r>
        <w:rPr>
          <w:lang w:val="vi-VN"/>
        </w:rPr>
        <w:t xml:space="preserve">đang thực hiện công tác đấu thầu</w:t>
      </w:r>
      <w:r>
        <w:rPr>
          <w:iCs/>
        </w:rPr>
        <w:t xml:space="preserve"> và đã khởi công ngày 19/8/2025. </w:t>
      </w:r>
      <w:r>
        <w:rPr>
          <w:iCs/>
        </w:rPr>
      </w:r>
      <w:r>
        <w:rPr>
          <w:iCs/>
        </w:rPr>
      </w:r>
    </w:p>
    <w:p>
      <w:pPr>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leader="none" w:pos="567"/>
        </w:tabs>
        <w:spacing w:after="120" w:before="120" w:line="259" w:lineRule="auto"/>
        <w:ind w:firstLine="567"/>
        <w:jc w:val="both"/>
        <w:rPr>
          <w:iCs/>
        </w:rPr>
      </w:pPr>
      <w:r>
        <w:rPr>
          <w:i/>
          <w:iCs/>
        </w:rPr>
        <w:t xml:space="preserve">- Dự án giải phóng mặt bằng để xây dựng cầu, đường dẫn vào 03 cầu trên ĐT.827E:</w:t>
      </w:r>
      <w:r>
        <w:rPr>
          <w:iCs/>
        </w:rPr>
        <w:t xml:space="preserve"> UBND tỉnh đã phê duyệt dự án theo Quyết định số 13092/QĐ-UBND ngày 16/12/2024, đã bố trí 1.575 tỷ đồng trong kế hoạch vốn năm 2025 để thực hiện. Các địa phương đang khẩn trương tổ chức chi trả.</w:t>
      </w:r>
      <w:r>
        <w:rPr>
          <w:iCs/>
        </w:rPr>
      </w:r>
      <w:r>
        <w:rPr>
          <w:iCs/>
        </w:rPr>
      </w:r>
    </w:p>
    <w:p>
      <w:pPr>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leader="none" w:pos="567"/>
        </w:tabs>
        <w:spacing w:after="120" w:before="120" w:line="259" w:lineRule="auto"/>
        <w:ind w:firstLine="567"/>
        <w:jc w:val="both"/>
        <w:rPr>
          <w:iCs/>
        </w:rPr>
      </w:pPr>
      <w:r>
        <w:rPr>
          <w:i/>
          <w:iCs/>
        </w:rPr>
        <w:t xml:space="preserve">(4) Đường liên tuyến kết nối vùng N8-787B-789</w:t>
      </w:r>
      <w:r>
        <w:rPr>
          <w:iCs/>
        </w:rPr>
        <w:t xml:space="preserve">: Dự án có 04 gói thầu thi công xây dựng: Hiện các gói thầu đang được triển khai thi công đảm bảo theo tiến độ.</w:t>
      </w:r>
      <w:r>
        <w:rPr>
          <w:iCs/>
        </w:rPr>
      </w:r>
      <w:r>
        <w:rPr>
          <w:iCs/>
        </w:rPr>
      </w:r>
    </w:p>
    <w:p>
      <w:pPr>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leader="none" w:pos="567"/>
        </w:tabs>
        <w:spacing w:after="120" w:before="120" w:line="259" w:lineRule="auto"/>
        <w:ind w:firstLine="567"/>
        <w:jc w:val="both"/>
        <w:rPr>
          <w:iCs/>
        </w:rPr>
      </w:pPr>
      <w:r>
        <w:rPr>
          <w:i/>
          <w:iCs/>
        </w:rPr>
        <w:t xml:space="preserve">(5) Đường Trường Chinh (Đoạn từ ĐT.781 đến đường 30/4): </w:t>
      </w:r>
      <w:r>
        <w:rPr>
          <w:iCs/>
        </w:rPr>
        <w:t xml:space="preserve">Dự án có 03 gói thầu thi công xây dựng: Hiện các gói thầu đang được triển khai thi công đảm bảo theo tiến độ.</w:t>
      </w:r>
      <w:r>
        <w:rPr>
          <w:iCs/>
        </w:rPr>
      </w:r>
      <w:r>
        <w:rPr>
          <w:iCs/>
        </w:rPr>
      </w:r>
    </w:p>
    <w:p>
      <w:pPr>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leader="none" w:pos="567"/>
        </w:tabs>
        <w:spacing w:after="120" w:before="120" w:line="259" w:lineRule="auto"/>
        <w:ind w:firstLine="567"/>
        <w:jc w:val="both"/>
        <w:rPr>
          <w:iCs/>
        </w:rPr>
      </w:pPr>
      <w:r>
        <w:rPr>
          <w:iCs/>
        </w:rPr>
        <w:t xml:space="preserve">(</w:t>
      </w:r>
      <w:r>
        <w:rPr>
          <w:i/>
          <w:iCs/>
        </w:rPr>
        <w:t xml:space="preserve">6) Chỉnh trang đường Cách mạng tháng Tám (đoạn từ cầu Quan đến đường Điện Biên Phủ): </w:t>
      </w:r>
      <w:r>
        <w:rPr>
          <w:iCs/>
        </w:rPr>
        <w:t xml:space="preserve">Dự án có 03 gói thầu thi công xây dựng: Hiện các gói thầu đang được triển khai thi công đảm bảo theo tiến độ.</w:t>
      </w:r>
      <w:r>
        <w:rPr>
          <w:iCs/>
        </w:rPr>
      </w:r>
      <w:r>
        <w:rPr>
          <w:iCs/>
        </w:rPr>
      </w:r>
    </w:p>
    <w:p>
      <w:pPr>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leader="none" w:pos="567"/>
        </w:tabs>
        <w:spacing w:after="120" w:before="120" w:line="259" w:lineRule="auto"/>
        <w:ind w:firstLine="567"/>
        <w:jc w:val="both"/>
        <w:rPr>
          <w:iCs/>
        </w:rPr>
      </w:pPr>
      <w:r>
        <w:rPr>
          <w:i/>
          <w:iCs/>
        </w:rPr>
        <w:t xml:space="preserve">(7) Dự án Xây dựng cửa khẩu quốc tế Tân Nam:</w:t>
      </w:r>
      <w:r>
        <w:rPr>
          <w:iCs/>
        </w:rPr>
        <w:t xml:space="preserve"> Dự án có 06 gói thầu thi công xây dựng và 01 gói thầu lắp đặt thiết bị: Hiện các gói thầu đang được triển khai thi công đảm bảo theo tiến độ.</w:t>
      </w:r>
      <w:r>
        <w:rPr>
          <w:iCs/>
        </w:rPr>
      </w:r>
      <w:r>
        <w:rPr>
          <w:iCs/>
        </w:rPr>
      </w:r>
    </w:p>
    <w:p>
      <w:pPr>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leader="none" w:pos="567"/>
        </w:tabs>
        <w:spacing w:after="120" w:before="120" w:line="259" w:lineRule="auto"/>
        <w:ind w:firstLine="567"/>
        <w:jc w:val="both"/>
        <w:rPr>
          <w:iCs/>
        </w:rPr>
      </w:pPr>
      <w:r>
        <w:rPr>
          <w:i/>
          <w:iCs/>
        </w:rPr>
        <w:t xml:space="preserve">(8) Dự án thành phần 4 - Bồi thường, hỗ trợ tái định cư cao tốc thành phố Hồ Chí Minh - Mộc Bài đoạn qua tỉnh Tây Ninh: </w:t>
      </w:r>
      <w:r>
        <w:rPr>
          <w:iCs/>
        </w:rPr>
        <w:t xml:space="preserve">Phương án bồi thường hỗ trợ, tái định cư đã được UBND các huyện, thị xã (cũ) phê duyệt với tiền bồi thường, đang thực hiện chi trả cho người dân.</w:t>
      </w:r>
      <w:r>
        <w:rPr>
          <w:iCs/>
        </w:rPr>
      </w:r>
      <w:r>
        <w:rPr>
          <w:iCs/>
        </w:rPr>
      </w:r>
    </w:p>
    <w:p>
      <w:pPr>
        <w:pBdr>
          <w:top w:val="none" w:color="000000" w:sz="4" w:space="0"/>
          <w:left w:val="none" w:color="000000" w:sz="4" w:space="0"/>
          <w:bottom w:val="none" w:color="000000" w:sz="4" w:space="0"/>
          <w:right w:val="none" w:color="000000" w:sz="4" w:space="0"/>
          <w:between w:val="none" w:color="000000" w:sz="4" w:space="0"/>
        </w:pBdr>
        <w:shd w:val="clear" w:color="auto" w:fill="ffffff"/>
        <w:tabs>
          <w:tab w:val="left" w:leader="none" w:pos="567"/>
        </w:tabs>
        <w:spacing w:after="120" w:before="120" w:line="259" w:lineRule="auto"/>
        <w:ind w:firstLine="567"/>
        <w:jc w:val="both"/>
        <w:rPr>
          <w:b/>
          <w:bCs/>
        </w:rPr>
      </w:pPr>
      <w:r>
        <w:rPr>
          <w:b/>
          <w:iCs/>
        </w:rPr>
        <w:t xml:space="preserve">5.2. Chương trình đột phá</w:t>
      </w:r>
      <w:r>
        <w:rPr>
          <w:b/>
          <w:bCs/>
        </w:rPr>
      </w:r>
      <w:r>
        <w:rPr>
          <w:b/>
          <w:bCs/>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
          <w:bCs/>
        </w:rPr>
      </w:pPr>
      <w:r>
        <w:rPr>
          <w:i/>
          <w:iCs/>
        </w:rPr>
        <w:t xml:space="preserve">a) Chương trình phát triển nông nghiệp ứng dụng công nghệ cao gắn với tái cơ cấu ngành nông nghiệp:</w:t>
      </w:r>
      <w:r>
        <w:rPr>
          <w:b/>
          <w:bCs/>
        </w:rPr>
        <w:t xml:space="preserve"> </w:t>
      </w:r>
      <w:r>
        <w:rPr>
          <w:b/>
          <w:bCs/>
        </w:rPr>
      </w:r>
      <w:r>
        <w:rPr>
          <w:b/>
          <w:bCs/>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t xml:space="preserve">Lũy kế đến nay: Vùng lúa có 63.988 ha </w:t>
      </w:r>
      <w:r>
        <w:t xml:space="preserve">diện tích lúa ứng dụng công nghệ cao (UDCNC), đạt 106,6% kế hoạch giai đoạn 2021 - 2025; Vùng rau có 2.148 ha, đạt 107,4% kế hoạch; Vùng thanh long có 5.849 ha, đạt 97,5% kế hoạch; Vùng chanh có 4.114 ha, đạt 137% kế hoạch. Vùng chăn nuôi bò thịt: Tính từ </w:t>
      </w:r>
      <w:r>
        <w:t xml:space="preserve">năm 2022 đến nay, đã xây dựng 05 mô hình điểm với nội dung hỗ trợ giống bò cái sinh sản, tổng số con hỗ trợ 62 con bò cái sinh sản; đã thực hiện hỗ trợ chuyển đổi giống 285 con giống bò cái sinh sản cho 59 hộ chăn nuôi; đào tạo 16 dẫn tinh viên; Vùng tôm: </w:t>
      </w:r>
      <w:r>
        <w:rPr>
          <w:rFonts w:eastAsia="Courier New"/>
          <w:lang w:eastAsia="vi-VN"/>
        </w:rPr>
        <w:t xml:space="preserve">1.270,98 hecta (trong đó: tỉnh và xã triển khai thực hiện là 98,84 hecta; Diện tích do nhân dân tự nhân rộng có 1.172,14 hecta) đạt 1.270,98% kế hoạch.</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i/>
          <w:iCs/>
        </w:rPr>
        <w:t xml:space="preserve">b) Chương trình đào tạo nguồn nhân lực đáp ứng nhu cầu phát triển công nghiệp và nông nghiệp tỉnh: </w:t>
      </w:r>
      <w:r>
        <w:t xml:space="preserve">Triển khai danh sách đào tạo sau đại học; đến nay, số cán bộ, công chức, viên chức nhà nước đã được cử đi đào tạo 193/459</w:t>
      </w:r>
      <w:r>
        <w:rPr>
          <w:rStyle w:val="2063"/>
        </w:rPr>
        <w:footnoteReference w:id="15"/>
      </w:r>
      <w:r>
        <w:t xml:space="preserve">, đạt 42,08% kế hoạch. Các sở, ngành tỉnh và địa phương đang tiếp tục triển khai thực hiện theo kế hoạch được duyệt, cơ bản đạt tiến độ đề ra</w:t>
      </w:r>
      <w:r>
        <w:rPr>
          <w:vertAlign w:val="superscript"/>
        </w:rPr>
        <w:footnoteReference w:id="16"/>
      </w:r>
      <w:r>
        <w:t xml:space="preserve">. </w:t>
      </w:r>
      <w:r>
        <w:rPr>
          <w:shd w:val="clear" w:color="auto" w:fill="ffffff"/>
        </w:rPr>
        <w:t xml:space="preserve">Đến nay, toàn tỉnh có 06 doanh nghiệp </w:t>
      </w:r>
      <w:r>
        <w:t xml:space="preserve">được công nhận doanh nghiệp </w:t>
      </w:r>
      <w:r>
        <w:rPr>
          <w:shd w:val="clear" w:color="auto" w:fill="ffffff"/>
        </w:rPr>
        <w:t xml:space="preserve">nông nghiệp ứng dụng công nghệ cao.</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i/>
          <w:iCs/>
        </w:rPr>
        <w:t xml:space="preserve">c) Chương trình huy động mọi nguồn lực xây dựng hệ thống hạ tầng giao thông đồng bộ phục vụ phát triển công nghiệp và đô thị của vùng kinh tế trọng </w:t>
      </w:r>
      <w:r>
        <w:rPr>
          <w:i/>
          <w:iCs/>
        </w:rPr>
        <w:t xml:space="preserve">điểm: </w:t>
      </w:r>
      <w:r>
        <w:t xml:space="preserve">Đối với các công trình thực hiện từ nguồn vốn đầu tư công thì đảm bảo tiến độ triển khai, đã hoàn thành 02 công trình, gồm: (1) Dự án nâng cấp, mở rộng ĐT.824 đoạn từ Tua Một đến cầu kênh Ranh, đã hoàn thành; (</w:t>
      </w:r>
      <w:r>
        <w:t xml:space="preserve">2) Dự án Nút giao Đường Hùng Vương - Quốc lộ 62 (thành phố Tân An). 01 công trình đang thi công là đường Lương Hòa - Bình Chánh; các dự án còn lại phụ thuộc vào công tác lập quy hoạch và đấu thầu lựa chọn nhà đầu tư nên tiến độ triển khai chưa đạt yêu cầu.</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t xml:space="preserve">Cầu Tắc Cạn và cầu Đông An trên tuyến đường tỉnh 8</w:t>
      </w:r>
      <w:r>
        <w:t xml:space="preserve">26D (Tân Tập - Long Hậu), đoạn từ Vành đai 4 đến ĐT 830: Đã duyệt thiết kế bản vẽ thi công - dự toán: Ban Thường vụ Tỉnh ủy đã thống nhất phương án đầu tư cùng với đường Tân Tập - Long Hậu (đoạn từ đường Vành đai 4 đến Đường tỉnh 830) để thực hiện đồng bộ.</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i/>
          <w:iCs/>
        </w:rPr>
        <w:t xml:space="preserve">(Đính kèm Phụ lục: Tiến độ các công trình trọng điểm và Chương trình huy động nguồn lực xây dựng hệ thống hạ tầng giao thông đồng bộ phục vụ phát triển công nghiệp và đô thị vùng kinh tế trọng điểm).</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b/>
          <w:bCs/>
        </w:rPr>
        <w:t xml:space="preserve">II. Lĩnh vực văn hóa - xã hội</w:t>
      </w:r>
      <w:r/>
    </w:p>
    <w:p>
      <w:pPr>
        <w:pBdr>
          <w:top w:val="none" w:color="000000" w:sz="0" w:space="0"/>
          <w:left w:val="none" w:color="000000" w:sz="0" w:space="0"/>
          <w:bottom w:val="none" w:color="000000" w:sz="0" w:space="0"/>
          <w:right w:val="none" w:color="000000" w:sz="0" w:space="0"/>
          <w:between w:val="none" w:color="000000" w:sz="0" w:space="0"/>
        </w:pBdr>
        <w:tabs>
          <w:tab w:val="left" w:leader="none" w:pos="567"/>
        </w:tabs>
        <w:spacing w:after="120" w:before="120" w:line="259" w:lineRule="auto"/>
        <w:ind w:firstLine="567"/>
        <w:jc w:val="both"/>
        <w:rPr>
          <w:i/>
          <w:iCs/>
          <w:lang w:val="vi-VN"/>
        </w:rPr>
      </w:pPr>
      <w:r>
        <w:rPr>
          <w:iCs/>
          <w:lang w:val="vi-VN"/>
        </w:rPr>
        <w:t xml:space="preserve">Trong tháng, </w:t>
      </w:r>
      <w:r>
        <w:rPr>
          <w:iCs/>
        </w:rPr>
        <w:t xml:space="preserve">nhiệm vụ văn hóa - xã hội được triển khai thực hiện theo kế hoạch đề ra. T</w:t>
      </w:r>
      <w:r>
        <w:rPr>
          <w:iCs/>
          <w:lang w:val="vi-VN"/>
        </w:rPr>
        <w:t xml:space="preserve">ập trung </w:t>
      </w:r>
      <w:r>
        <w:rPr>
          <w:iCs/>
        </w:rPr>
        <w:t xml:space="preserve">triển khai các hoạt động</w:t>
      </w:r>
      <w:r>
        <w:rPr>
          <w:iCs/>
          <w:lang w:val="vi-VN"/>
        </w:rPr>
        <w:t xml:space="preserve"> </w:t>
      </w:r>
      <w:r>
        <w:rPr>
          <w:iCs/>
        </w:rPr>
        <w:t xml:space="preserve">chào </w:t>
      </w:r>
      <w:r>
        <w:rPr>
          <w:iCs/>
          <w:lang w:val="vi-VN"/>
        </w:rPr>
        <w:t xml:space="preserve">mừng </w:t>
      </w:r>
      <w:r>
        <w:rPr>
          <w:iCs/>
        </w:rPr>
        <w:t xml:space="preserve">các ngày lễ lớn như:</w:t>
      </w:r>
      <w:r>
        <w:rPr>
          <w:i/>
          <w:iCs/>
          <w:lang w:val="vi-VN"/>
        </w:rPr>
        <w:t xml:space="preserve"> </w:t>
      </w:r>
      <w:r>
        <w:rPr>
          <w:bCs/>
          <w:shd w:val="clear" w:color="auto" w:fill="ffffff"/>
          <w:lang w:val="nl-NL"/>
        </w:rPr>
        <w:t xml:space="preserve">95 năm ngày truyền thống ngành Tuyên giáo của Đảng </w:t>
      </w:r>
      <w:r>
        <w:rPr>
          <w:bCs/>
          <w:i/>
          <w:shd w:val="clear" w:color="auto" w:fill="ffffff"/>
          <w:lang w:val="nl-NL"/>
        </w:rPr>
        <w:t xml:space="preserve">(01/8/1930 -</w:t>
      </w:r>
      <w:r>
        <w:rPr>
          <w:bCs/>
          <w:i/>
          <w:shd w:val="clear" w:color="auto" w:fill="ffffff"/>
          <w:lang w:val="nl-NL"/>
        </w:rPr>
        <w:t xml:space="preserve"> 01/8/2025)</w:t>
      </w:r>
      <w:r>
        <w:rPr>
          <w:i/>
        </w:rPr>
        <w:t xml:space="preserve">;</w:t>
      </w:r>
      <w:r>
        <w:t xml:space="preserve"> 80 năm</w:t>
      </w:r>
      <w:r>
        <w:rPr>
          <w:spacing w:val="-6"/>
        </w:rPr>
        <w:t xml:space="preserve"> Cách mạng T</w:t>
      </w:r>
      <w:r>
        <w:rPr>
          <w:spacing w:val="-6"/>
        </w:rPr>
        <w:t xml:space="preserve">háng Tám </w:t>
      </w:r>
      <w:r>
        <w:rPr>
          <w:i/>
          <w:spacing w:val="-6"/>
        </w:rPr>
        <w:t xml:space="preserve">(19/8/1945 - 19/8/2025</w:t>
      </w:r>
      <w:r>
        <w:rPr>
          <w:spacing w:val="-6"/>
        </w:rPr>
        <w:t xml:space="preserve">) và</w:t>
      </w:r>
      <w:r>
        <w:t xml:space="preserve"> Quốc khánh </w:t>
      </w:r>
      <w:r>
        <w:rPr>
          <w:spacing w:val="-6"/>
        </w:rPr>
        <w:t xml:space="preserve">n</w:t>
      </w:r>
      <w:r>
        <w:rPr>
          <w:spacing w:val="-6"/>
        </w:rPr>
        <w:t xml:space="preserve">ước Cộng hòa xã hội chủ nghĩa Việt </w:t>
      </w:r>
      <w:r>
        <w:rPr>
          <w:i/>
          <w:spacing w:val="-6"/>
        </w:rPr>
        <w:t xml:space="preserve">Nam </w:t>
      </w:r>
      <w:r>
        <w:rPr>
          <w:i/>
        </w:rPr>
        <w:t xml:space="preserve">(</w:t>
      </w:r>
      <w:r>
        <w:rPr>
          <w:i/>
        </w:rPr>
        <w:t xml:space="preserve">0</w:t>
      </w:r>
      <w:r>
        <w:rPr>
          <w:i/>
        </w:rPr>
        <w:t xml:space="preserve">2/9/1945 - 02/9/2025)</w:t>
      </w:r>
      <w:r>
        <w:rPr>
          <w:i/>
          <w:iCs/>
          <w:lang w:val="vi-VN"/>
        </w:rPr>
        <w:t xml:space="preserve">,... </w:t>
      </w:r>
      <w:r>
        <w:rPr>
          <w:iCs/>
          <w:lang w:val="vi-VN"/>
        </w:rPr>
        <w:t xml:space="preserve">Công tác phòng, chống dịch bệnh tiếp tục được quan tâm; không xuất hiện các dịch lớn xảy ra, nguy hại đến sức khỏe người dân. Tổ chức hoạt động</w:t>
      </w:r>
      <w:r>
        <w:rPr>
          <w:iCs/>
          <w:lang w:val="vi-VN"/>
        </w:rPr>
        <w:t xml:space="preserve"> văn hóa, lễ hội đúng quy định, trang trọng, thiết thực, tiết kiệm. Công tác giáo dục nghề nghiệp tiếp tục được quan tâm thực hiện. Thực hiện đầy đủ chính sách đối với người có công, yếu thế trong xã hội. Hoạt động báo chí, truyền thông của tỉnh đảm bảo tí</w:t>
      </w:r>
      <w:r>
        <w:rPr>
          <w:iCs/>
          <w:lang w:val="vi-VN"/>
        </w:rPr>
        <w:t xml:space="preserve">nh thời sự, chuẩn xác, có trọng tâm, trọng điểm, đảm bảo phục vụ nhiệm vụ chính trị của tỉnh và các địa phương, tạo đồng thuận và niềm tin xã hội. Tình hình an ninh chính trị và trật tự an toàn xã hội cơ bản ổn định, cụ thể trên các lĩnh vực trọng tâm sau:</w:t>
      </w:r>
      <w:r>
        <w:rPr>
          <w:i/>
          <w:iCs/>
          <w:lang w:val="vi-VN"/>
        </w:rPr>
      </w:r>
      <w:r>
        <w:rPr>
          <w:i/>
          <w:iCs/>
          <w:lang w:val="vi-VN"/>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b/>
          <w:bCs/>
          <w:iCs/>
        </w:rPr>
        <w:t xml:space="preserve">1. Về Giáo dục và Đào tạo:</w:t>
      </w:r>
      <w:r>
        <w:t xml:space="preserve"> </w:t>
      </w:r>
      <w:r>
        <w:rPr>
          <w:lang w:val="vi-VN"/>
        </w:rPr>
        <w:t xml:space="preserve">Trong tháng, tổ chức nhiều hoạt động tuyên truyền, giáo dục ý nghĩa, với tham gia đông đảo của giáo viên, học sinh như: </w:t>
      </w:r>
      <w:r>
        <w:t xml:space="preserve">kỷ niệm 80 năm Cách mạng Tháng Tám thành công </w:t>
      </w:r>
      <w:r>
        <w:rPr>
          <w:i/>
        </w:rPr>
        <w:t xml:space="preserve">(19/8/1945</w:t>
      </w:r>
      <w:r>
        <w:rPr>
          <w:i/>
        </w:rPr>
        <w:t xml:space="preserve"> </w:t>
      </w:r>
      <w:r>
        <w:rPr>
          <w:i/>
        </w:rPr>
        <w:t xml:space="preserve">-</w:t>
      </w:r>
      <w:r>
        <w:rPr>
          <w:i/>
        </w:rPr>
        <w:t xml:space="preserve"> </w:t>
      </w:r>
      <w:r>
        <w:rPr>
          <w:i/>
        </w:rPr>
        <w:t xml:space="preserve">19/8/2025)</w:t>
      </w:r>
      <w:r>
        <w:t xml:space="preserve"> và Quốc khánh nước Cộng hòa xã hội chủ nghĩa Việt Nam </w:t>
      </w:r>
      <w:r>
        <w:rPr>
          <w:i/>
        </w:rPr>
        <w:t xml:space="preserve">(02/9/1945 - 02/9/2025)</w:t>
      </w:r>
      <w:r>
        <w:t xml:space="preserve">, đại hội đảng bộ các cấp trong tỉnh nhiệm kỳ 2025 - 2030 và Đại hội đại biểu toàn quốc lần thứ XIV của Đảng</w:t>
      </w:r>
      <w:r>
        <w:rPr>
          <w:shd w:val="clear" w:color="auto" w:fill="ffffff"/>
          <w:lang w:val="vi-VN"/>
        </w:rPr>
        <w:t xml:space="preserve">.</w:t>
      </w:r>
      <w:r>
        <w:rPr>
          <w:shd w:val="clear" w:color="auto" w:fill="ffffff"/>
        </w:rPr>
        <w:t xml:space="preserve"> </w:t>
      </w:r>
      <w:r>
        <w:t xml:space="preserve">Kiểm tra công tác chuẩn bị đầu năm học 2025</w:t>
      </w:r>
      <w:r>
        <w:t xml:space="preserve"> </w:t>
      </w:r>
      <w:r>
        <w:t xml:space="preserve">-</w:t>
      </w:r>
      <w:r>
        <w:t xml:space="preserve"> </w:t>
      </w:r>
      <w:r>
        <w:t xml:space="preserve">2026 đối với các đơn vị trường học. </w:t>
      </w:r>
      <w:r>
        <w:rPr>
          <w:rFonts w:eastAsia="Calibri"/>
        </w:rPr>
        <w:t xml:space="preserve">Chuẩn bị các điều kiện tham dự Hội nghị Tổng kết năm học 2024</w:t>
      </w:r>
      <w:r>
        <w:rPr>
          <w:rFonts w:eastAsia="Calibri"/>
        </w:rPr>
        <w:t xml:space="preserve"> </w:t>
      </w:r>
      <w:r>
        <w:rPr>
          <w:rFonts w:eastAsia="Calibri"/>
        </w:rPr>
        <w:t xml:space="preserve">-</w:t>
      </w:r>
      <w:r>
        <w:rPr>
          <w:rFonts w:eastAsia="Calibri"/>
        </w:rPr>
        <w:t xml:space="preserve"> </w:t>
      </w:r>
      <w:r>
        <w:rPr>
          <w:rFonts w:eastAsia="Calibri"/>
        </w:rPr>
        <w:t xml:space="preserve">2025, triển khai nhiệm vụ năm học 2025</w:t>
      </w:r>
      <w:r>
        <w:rPr>
          <w:rFonts w:eastAsia="Calibri"/>
        </w:rPr>
        <w:t xml:space="preserve"> </w:t>
      </w:r>
      <w:r>
        <w:rPr>
          <w:rFonts w:eastAsia="Calibri"/>
        </w:rPr>
        <w:t xml:space="preserve">-</w:t>
      </w:r>
      <w:r>
        <w:rPr>
          <w:rFonts w:eastAsia="Calibri"/>
        </w:rPr>
        <w:t xml:space="preserve"> </w:t>
      </w:r>
      <w:r>
        <w:rPr>
          <w:rFonts w:eastAsia="Calibri"/>
        </w:rPr>
        <w:t xml:space="preserve">2026 trực tuyến do Bộ Giáo dục và Đào tạo tổ chức. Chuẩn bị các điều kiện tổ chức Hội nghị Tổng kết năm học 2024</w:t>
      </w:r>
      <w:r>
        <w:rPr>
          <w:rFonts w:eastAsia="Calibri"/>
        </w:rPr>
        <w:t xml:space="preserve"> </w:t>
      </w:r>
      <w:r>
        <w:rPr>
          <w:rFonts w:eastAsia="Calibri"/>
        </w:rPr>
        <w:t xml:space="preserve">-</w:t>
      </w:r>
      <w:r>
        <w:rPr>
          <w:rFonts w:eastAsia="Calibri"/>
        </w:rPr>
        <w:t xml:space="preserve"> </w:t>
      </w:r>
      <w:r>
        <w:rPr>
          <w:rFonts w:eastAsia="Calibri"/>
        </w:rPr>
        <w:t xml:space="preserve">2025, triển khai nhiệm vụ năm học 2025</w:t>
      </w:r>
      <w:r>
        <w:rPr>
          <w:rFonts w:eastAsia="Calibri"/>
        </w:rPr>
        <w:t xml:space="preserve"> </w:t>
      </w:r>
      <w:r>
        <w:rPr>
          <w:rFonts w:eastAsia="Calibri"/>
        </w:rPr>
        <w:t xml:space="preserve">-</w:t>
      </w:r>
      <w:r>
        <w:rPr>
          <w:rFonts w:eastAsia="Calibri"/>
        </w:rPr>
        <w:t xml:space="preserve"> </w:t>
      </w:r>
      <w:r>
        <w:rPr>
          <w:rFonts w:eastAsia="Calibri"/>
        </w:rPr>
        <w:t xml:space="preserve">2026 ngành Giáo dục và </w:t>
      </w:r>
      <w:r>
        <w:rPr>
          <w:rFonts w:eastAsia="Calibri"/>
        </w:rPr>
        <w:t xml:space="preserve">Đào tạo Tây Ninh.</w:t>
      </w:r>
      <w:r>
        <w:rPr>
          <w:shd w:val="clear" w:color="auto" w:fill="ffffff"/>
          <w:lang w:val="vi-VN"/>
        </w:rPr>
        <w:t xml:space="preserve"> </w:t>
      </w:r>
      <w:r>
        <w:t xml:space="preserve">Tổ chức chấm phúc khảo thi tốt nghiệp trung học phổ thông năm 2025. Tổ chức coi thi, chấm thi chọn học sinh giỏi trung học phổ thông cấp tỉnh năm học 2025</w:t>
      </w:r>
      <w:r>
        <w:t xml:space="preserve"> </w:t>
      </w:r>
      <w:r>
        <w:t xml:space="preserve">-</w:t>
      </w:r>
      <w:r>
        <w:t xml:space="preserve"> </w:t>
      </w:r>
      <w:r>
        <w:t xml:space="preserve">2026 (tỉnh Tây Ninh cũ).</w:t>
      </w:r>
      <w:r>
        <w:t xml:space="preserve"> Tiếp tục tham gia các lớp bồi dưỡng, tập huấn theo kế hoạch của Bộ Giáo dục và Đào tạo; tổ chức các lớp bồi dưỡng thường xuyên về chính trị, chuyên môn, nghiệp vụ cho cán bộ quản lý, giáo viên; bồi dưỡng cán bộ quản lý giáo dục, giáo viên cốt cán cấp tỉnh</w:t>
      </w:r>
      <w:r>
        <w:rPr>
          <w:shd w:val="clear" w:color="auto" w:fill="ffffff"/>
        </w:rPr>
        <w:t xml:space="preserve">.</w:t>
      </w:r>
      <w:r/>
    </w:p>
    <w:p>
      <w:pPr>
        <w:pBdr>
          <w:top w:val="none" w:color="000000" w:sz="0" w:space="0"/>
          <w:left w:val="none" w:color="000000" w:sz="0" w:space="0"/>
          <w:bottom w:val="none" w:color="000000" w:sz="0" w:space="0"/>
          <w:right w:val="none" w:color="000000" w:sz="0" w:space="0"/>
          <w:between w:val="none" w:color="000000" w:sz="0" w:space="0"/>
        </w:pBdr>
        <w:tabs>
          <w:tab w:val="left" w:leader="none" w:pos="567"/>
        </w:tabs>
        <w:spacing w:after="120" w:before="120" w:line="259" w:lineRule="auto"/>
        <w:ind w:firstLine="567"/>
        <w:jc w:val="both"/>
        <w:rPr/>
      </w:pPr>
      <w:r>
        <w:rPr>
          <w:b/>
          <w:bCs/>
          <w:iCs/>
        </w:rPr>
        <w:t xml:space="preserve">2. Về Y tế:</w:t>
      </w:r>
      <w:r>
        <w:t xml:space="preserve"> Công tác phòng, chống dịch bệnh tiếp tục được quan tâm; các bệnh dịch truyền nhiễm tiếp tục được kiểm soát tốt, không xảy ra dịch lớn. Trong tháng, không xảy ra ca mắc mới như: bệnh dại, bạch</w:t>
      </w:r>
      <w:r>
        <w:t xml:space="preserve"> hầu, bệnh truyền nhiễm nguy hiểm và bệnh chưa rõ tác nhân gây bệnh, Rubella, bệnh cúm A(H1N1), Cúm A (H5N1), cúm A(H7N9), sốt rét, bệnh do vi rút zika, viêm não nhật bản, thương hàn,...; một số bệnh có ca mắc tăng so cùng kỳ, như: Sốt xuất huyết, Lao phổi</w:t>
      </w:r>
      <w:r>
        <w:rPr>
          <w:vertAlign w:val="superscript"/>
        </w:rPr>
        <w:footnoteReference w:id="17"/>
      </w:r>
      <w:r>
        <w:t xml:space="preserve">,... Duy trì, nâng cao chất lượng, hiệu quả công tác khám chữa bệnh tại các cơ sở y tế, đảm bảo đáp ứng tốt nhu cầu khám chữa bệnh của người dân; tổng số lượt khám bệnh trong tháng sau khi hợp nhất </w:t>
      </w:r>
      <w:r>
        <w:rPr>
          <w:lang w:val="pt-BR"/>
        </w:rPr>
        <w:t xml:space="preserve">451.452 lượt người tăng </w:t>
      </w:r>
      <w:r>
        <w:rPr>
          <w:lang w:val="pt-BR"/>
        </w:rPr>
        <w:t xml:space="preserve">69,6% so với tháng (266.146 lượt người). Tổng số người điều trị nội trú trong toàn tỉnh 38.124 người, tăng 122,2% so với tháng trước (17.158 người). Công suất sử dụng giường bệnh bình quân trong toàn tỉnh là 137,56%, tăng 89,89% so với tháng trước (72,46%)</w:t>
      </w:r>
      <w:r>
        <w:t xml:space="preserve">. Công tác truyền thông y tế được tăng cường, tuyên truyền rộng rãi đến quần chúng nhân dân; góp phần nâng cao nhận thức trong công tác phòng, chống dịch bệnh, nâng cao sức khỏe của người dân</w:t>
      </w:r>
      <w:r>
        <w:rPr>
          <w:vertAlign w:val="superscript"/>
        </w:rPr>
        <w:footnoteReference w:id="18"/>
      </w:r>
      <w:r>
        <w:t xml:space="preserve">.</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Cs/>
          <w:lang w:val="da-DK"/>
        </w:rPr>
      </w:pPr>
      <w:r>
        <w:rPr>
          <w:b/>
          <w:bCs/>
          <w:iCs/>
        </w:rPr>
        <w:t xml:space="preserve">3. Về Văn hóa, Thông tin, Thể dục thể thao và Du lịch:</w:t>
      </w:r>
      <w:r>
        <w:t xml:space="preserve"> </w:t>
      </w:r>
      <w:r>
        <w:rPr>
          <w:bCs/>
          <w:iCs/>
        </w:rPr>
        <w:t xml:space="preserve">Các hoạt động văn hoá, văn nghệ, thể dục thể thao, du lịch các hoạt động tuyên truyền và hưởng ứng diễn ra sôi nổi chào mừng kỷ niệm các ngày lễ lớn trong tháng</w:t>
      </w:r>
      <w:r>
        <w:rPr>
          <w:bCs/>
          <w:iCs/>
          <w:vertAlign w:val="superscript"/>
          <w:lang w:val="nl-NL"/>
        </w:rPr>
        <w:footnoteReference w:id="19"/>
      </w:r>
      <w:r>
        <w:rPr>
          <w:bCs/>
          <w:iCs/>
          <w:lang w:val="nl-NL"/>
        </w:rPr>
        <w:t xml:space="preserve">, nhất là </w:t>
      </w:r>
      <w:r>
        <w:rPr>
          <w:bCs/>
          <w:iCs/>
        </w:rPr>
        <w:t xml:space="preserve">tập trung </w:t>
      </w:r>
      <w:r>
        <w:rPr>
          <w:iCs/>
        </w:rPr>
        <w:t xml:space="preserve">tuyên truyền về sắp xếp đơn vị hành chính và xây dựng mô hình tổ chức chính </w:t>
      </w:r>
      <w:r>
        <w:rPr>
          <w:iCs/>
        </w:rPr>
        <w:t xml:space="preserve">quyền địa phương 02 cấp </w:t>
      </w:r>
      <w:r>
        <w:t xml:space="preserve">với nhiều hình thức</w:t>
      </w:r>
      <w:r>
        <w:rPr>
          <w:vertAlign w:val="superscript"/>
        </w:rPr>
        <w:footnoteReference w:id="20"/>
      </w:r>
      <w:r>
        <w:t xml:space="preserve">. Chuẩn bị các nội dung triển lãm thành tựu kinh tế - xã hội nhân dịp kỷ niệm 80 năm ngày Quốc khánh </w:t>
      </w:r>
      <w:r>
        <w:rPr>
          <w:i/>
        </w:rPr>
        <w:t xml:space="preserve">(02/09/1945 - 02/09/2025)</w:t>
      </w:r>
      <w:r>
        <w:t xml:space="preserve"> tại Đông Anh, Hà Nội. Tổ chức thành công Giải chạy BaDen Mountain International Marathon 2025; đăng cai tổ chức 02 giải thi đấu quốc gia</w:t>
      </w:r>
      <w:r>
        <w:rPr>
          <w:rStyle w:val="2063"/>
        </w:rPr>
        <w:footnoteReference w:id="21"/>
      </w:r>
      <w:r>
        <w:t xml:space="preserve">; tham dự 10 giải thi đấu quốc gia, cụm, khu vực đạt 127 huy chương</w:t>
      </w:r>
      <w:r>
        <w:rPr>
          <w:rStyle w:val="2063"/>
        </w:rPr>
        <w:footnoteReference w:id="22"/>
      </w:r>
      <w:r>
        <w:t xml:space="preserve">; duy trì các h</w:t>
      </w:r>
      <w:r>
        <w:rPr>
          <w:bCs/>
          <w:iCs/>
        </w:rPr>
        <w:t xml:space="preserve">oạt động thể dục thể thao của người cao tuổi, thanh thiếu niên được quan tâm, trong lực lượng vũ trang, công chức, viên chức, học sinh</w:t>
      </w:r>
      <w:r>
        <w:rPr>
          <w:bCs/>
          <w:iCs/>
          <w:lang w:val="vi-VN"/>
        </w:rPr>
        <w:t xml:space="preserve">.</w:t>
      </w:r>
      <w:r>
        <w:rPr>
          <w:bCs/>
          <w:iCs/>
        </w:rPr>
        <w:t xml:space="preserve"> </w:t>
      </w:r>
      <w:r>
        <w:t xml:space="preserve">Tăng cường quảng bá, xúc tiến du lịch; </w:t>
      </w:r>
      <w:r>
        <w:rPr>
          <w:spacing w:val="3"/>
          <w:shd w:val="clear" w:color="auto" w:fill="ffffff"/>
        </w:rPr>
        <w:t xml:space="preserve">hỗ trợ doanh nghiệp kết nối các khu, điểm du lịch để xây dựng tour, tuyến</w:t>
      </w:r>
      <w:r>
        <w:t xml:space="preserve"> tạo sức lan tỏa sâu rộng, lượng khách và doanh thu du lịch trong tháng tăng so cùng kỳ</w:t>
      </w:r>
      <w:r>
        <w:rPr>
          <w:vertAlign w:val="superscript"/>
        </w:rPr>
        <w:footnoteReference w:id="23"/>
      </w:r>
      <w:r>
        <w:t xml:space="preserve">. Hoạt động báo chí, truyền thông của tỉnh đảm bảo tính thời sự</w:t>
      </w:r>
      <w:r>
        <w:rPr>
          <w:vertAlign w:val="superscript"/>
        </w:rPr>
        <w:footnoteReference w:id="24"/>
      </w:r>
      <w:r>
        <w:t xml:space="preserve">, chuẩn xác, có trọng tâm, trọng điểm, đảm bảo phục vụ nhiệm vụ chính trị của tỉnh và các địa phương, tạo đồng thuận và niềm tin xã hội. </w:t>
      </w:r>
      <w:r>
        <w:rPr>
          <w:bCs/>
          <w:lang w:val="da-DK"/>
        </w:rPr>
        <w:t xml:space="preserve">Hoạt động xuất bản, in và phát hành trên địa bàn tỉnh duy trì phát triển ổn định, đóng góp tích cực vào sự phát triển kinh tế - xã hội, văn hóa của tỉnh. </w:t>
      </w:r>
      <w:r>
        <w:rPr>
          <w:bCs/>
          <w:lang w:val="da-DK"/>
        </w:rPr>
      </w:r>
      <w:r>
        <w:rPr>
          <w:bCs/>
          <w:lang w:val="da-DK"/>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b/>
          <w:bCs/>
          <w:iCs/>
        </w:rPr>
        <w:t xml:space="preserve">4. Về Lao động, Thương binh và Xã hội:</w:t>
      </w:r>
      <w:r>
        <w:t xml:space="preserve"> </w:t>
      </w:r>
      <w:r>
        <w:rPr>
          <w:shd w:val="clear" w:color="auto" w:fill="ffffff"/>
        </w:rPr>
        <w:t xml:space="preserve">Tiếp tục triển khai, hướng dẫn các quy định về sử dụng, quản lý đối với người lao động nước ngoài làm việc trên địa bàn tỉnh</w:t>
      </w:r>
      <w:r>
        <w:rPr>
          <w:vertAlign w:val="superscript"/>
        </w:rPr>
        <w:footnoteReference w:id="25"/>
      </w:r>
      <w:r>
        <w:t xml:space="preserve">. Hỗ trợ người lao động bị mất việc làm bù đắp được chi phí tiền lương, ổn định cuộc sống; kịp thời hỗ trợ tư vấn, giới thiệu người lao động tìm kiếm việc làm mới</w:t>
      </w:r>
      <w:r>
        <w:rPr>
          <w:shd w:val="clear" w:color="auto" w:fill="ffffff"/>
          <w:vertAlign w:val="superscript"/>
        </w:rPr>
        <w:footnoteReference w:id="26"/>
      </w:r>
      <w:r>
        <w:rPr>
          <w:shd w:val="clear" w:color="auto" w:fill="ffffff"/>
        </w:rPr>
        <w:t xml:space="preserve">. </w:t>
      </w:r>
      <w:r>
        <w:t xml:space="preserve">Triển khai thực hiện Kế hoạch Đưa người lao động đi làm việc nước ngoài năm 2025</w:t>
      </w:r>
      <w:r>
        <w:rPr>
          <w:vertAlign w:val="superscript"/>
        </w:rPr>
        <w:footnoteReference w:id="27"/>
      </w:r>
      <w:r>
        <w:t xml:space="preserve">. </w:t>
      </w:r>
      <w:r>
        <w:rPr>
          <w:spacing w:val="3"/>
          <w:shd w:val="clear" w:color="auto" w:fill="ffffff"/>
        </w:rPr>
        <w:t xml:space="preserve">Thực hiện các chế độ, chính sách, </w:t>
      </w:r>
      <w:r>
        <w:t xml:space="preserve">triển khai các hoạt động Kỷ niệm 78 năm Ngày Thương binh - Liệt sĩ </w:t>
      </w:r>
      <w:r>
        <w:rPr>
          <w:i/>
        </w:rPr>
        <w:t xml:space="preserve">(27/7/1947 -</w:t>
      </w:r>
      <w:r>
        <w:rPr>
          <w:i/>
        </w:rPr>
        <w:t xml:space="preserve"> 27/7/2025)</w:t>
      </w:r>
      <w:r>
        <w:rPr>
          <w:rStyle w:val="2063"/>
        </w:rPr>
        <w:footnoteReference w:id="28"/>
      </w:r>
      <w:r>
        <w:t xml:space="preserve">; chính sách đối với người có công với cách mạng trên địa bàn tỉnh nhân dịp Kỷ niệm 80 năm Quốc khánh nước Cộng hoà xã hội chủ nghĩa Việt Nam</w:t>
      </w:r>
      <w:r>
        <w:rPr>
          <w:rStyle w:val="2063"/>
        </w:rPr>
        <w:footnoteReference w:id="29"/>
      </w:r>
      <w:r>
        <w:rPr>
          <w:spacing w:val="3"/>
          <w:shd w:val="clear" w:color="auto" w:fill="ffffff"/>
        </w:rPr>
        <w:t xml:space="preserve">.</w:t>
      </w:r>
      <w:r>
        <w:t xml:space="preserve"> Thực hiện chính sách </w:t>
      </w:r>
      <w:r>
        <w:t xml:space="preserve">đối với nhóm đối tượng dễ bị tổn thương (người già, phụ nữ, trẻ em, người khuyết tật, nạn nhân chất độc da cam/dioxin</w:t>
      </w:r>
      <w:r>
        <w:t xml:space="preserve">,</w:t>
      </w:r>
      <w:r>
        <w:t xml:space="preserve">…). </w:t>
      </w:r>
      <w:r>
        <w:rPr>
          <w:bCs/>
        </w:rPr>
        <w:t xml:space="preserve">Các chính sách an sinh xã hội; c</w:t>
      </w:r>
      <w:r>
        <w:t xml:space="preserve">ông </w:t>
      </w:r>
      <w:r>
        <w:t xml:space="preserve">tác bảo vệ, chăm sóc trẻ em và b</w:t>
      </w:r>
      <w:r>
        <w:t xml:space="preserve">ình đẳng giới tiếp tục được quan tâm. </w:t>
      </w:r>
      <w:r>
        <w:rPr>
          <w:shd w:val="clear" w:color="auto" w:fill="ffffff"/>
        </w:rPr>
        <w:t xml:space="preserve">Công tác phòng chống tệ nạn xã hội của tỉnh được </w:t>
      </w:r>
      <w:r>
        <w:t xml:space="preserve">thực hiện có hiệu quả</w:t>
      </w:r>
      <w:r>
        <w:rPr>
          <w:shd w:val="clear" w:color="auto" w:fill="ffffff"/>
        </w:rPr>
        <w:t xml:space="preserve">.</w:t>
      </w:r>
      <w:r>
        <w:t xml:space="preserve"> </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b/>
          <w:bCs/>
          <w:iCs/>
        </w:rPr>
        <w:t xml:space="preserve">5. Về </w:t>
      </w:r>
      <w:r>
        <w:rPr>
          <w:b/>
        </w:rPr>
        <w:t xml:space="preserve">Khoa học công nghệ, đổi mới sáng tạo và chuyển đổi số</w:t>
      </w:r>
      <w:r>
        <w:rPr>
          <w:b/>
          <w:bCs/>
          <w:iCs/>
        </w:rPr>
        <w:t xml:space="preserve">:</w:t>
      </w:r>
      <w:r>
        <w:t xml:space="preserve"> </w:t>
      </w:r>
      <w:r>
        <w:rPr>
          <w:rFonts w:eastAsia="SimSun"/>
          <w:shd w:val="clear" w:color="auto" w:fill="ffffff"/>
          <w:lang w:val="nl-NL"/>
        </w:rPr>
        <w:t xml:space="preserve">Tiếp tục</w:t>
      </w:r>
      <w:r>
        <w:rPr>
          <w:shd w:val="clear" w:color="auto" w:fill="ffffff"/>
        </w:rPr>
        <w:t xml:space="preserve"> </w:t>
      </w:r>
      <w:r>
        <w:t xml:space="preserve">duy trì và vận hành hoạt động thường xuyên khu làm việc chung của Không gian khởi nghiệp</w:t>
      </w:r>
      <w:r>
        <w:t xml:space="preserve">,</w:t>
      </w:r>
      <w:r>
        <w:t xml:space="preserve"> sáng tạo tỉnh. Tiếp tục hỗ trợ, cung cấp thông tin cần thiết để giới thiệu, quảng bá sản phẩm OCOP trên sàn thương mại điện tử do Bưu điện tỉnh quản lý. Tiếp tục thúc đẩy sử dụng Nền tảng công dân số “Tây Ninh Số”, Tổng đài 1022 </w:t>
      </w:r>
      <w:r>
        <w:rPr>
          <w:i/>
        </w:rPr>
        <w:t xml:space="preserve">(qua đầu số 0272 1022)</w:t>
      </w:r>
      <w:r>
        <w:t xml:space="preserve">, Hệ thống tiếp nhận và xử lý phản ánh kiến nghị (https://1022.tayninh.gov.vn) phục vụ người dân, doanh nghiệp</w:t>
      </w:r>
      <w:r>
        <w:rPr>
          <w:vertAlign w:val="superscript"/>
        </w:rPr>
        <w:footnoteReference w:id="30"/>
      </w:r>
      <w:r>
        <w:t xml:space="preserve">. Hệ thống ứng dụng công nghệ thông tin dùng chung phục vụ chính quyền số, xã hội số của tỉnh hoạt động ổn định, phát huy hiệu quả</w:t>
      </w:r>
      <w:r>
        <w:rPr>
          <w:vertAlign w:val="superscript"/>
        </w:rPr>
        <w:footnoteReference w:id="31"/>
      </w:r>
      <w:r>
        <w:t xml:space="preserve">. An toàn thông tin được đảm bảo, không xảy ra sự cố mất an toàn thông tin. </w:t>
      </w:r>
      <w:r/>
    </w:p>
    <w:p>
      <w:pPr>
        <w:pBdr>
          <w:bottom w:val="none" w:color="000000" w:sz="0" w:space="0"/>
        </w:pBdr>
        <w:tabs>
          <w:tab w:val="left" w:leader="none" w:pos="567"/>
        </w:tabs>
        <w:spacing w:after="120" w:before="120" w:line="259" w:lineRule="auto"/>
        <w:ind w:firstLine="567"/>
        <w:jc w:val="both"/>
        <w:rPr>
          <w:strike/>
        </w:rPr>
      </w:pPr>
      <w:r>
        <w:t xml:space="preserve">Ngành Khoa học và Công nghệ theo dõi, quản lý và tổ chức triển khai 106 nhiệm vụ </w:t>
      </w:r>
      <w:r>
        <w:rPr>
          <w:i/>
        </w:rPr>
        <w:t xml:space="preserve">(01 nhiệm vụ cấp quốc gia, 72 nhiệm vụ cấp tỉnh, 20 nhiệm vụ cấp cơ sở, 13 nhiệm vụ tham gia chính sách hỗ trợ nhân rộng mô hình). </w:t>
      </w:r>
      <w:r>
        <w:t xml:space="preserve">Triển khai hỗ trợ đăng ký bảo hộ tài sản trí tuệ và tăng cường đăng ký quyền sở hữu trí tuệ cho các tổ chức, cá nhân trên địa bàn tỉnh</w:t>
      </w:r>
      <w:r>
        <w:rPr>
          <w:vertAlign w:val="superscript"/>
        </w:rPr>
        <w:footnoteReference w:id="32"/>
      </w:r>
      <w:r>
        <w:t xml:space="preserve">.  </w:t>
      </w:r>
      <w:r>
        <w:rPr>
          <w:strike/>
        </w:rPr>
      </w:r>
      <w:r>
        <w:rPr>
          <w:strike/>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b/>
          <w:bCs/>
        </w:rPr>
        <w:t xml:space="preserve">III. Về tình hình quốc phòng, an ninh trật tự, thanh tra, tiếp dân, giải quyết khiếu nại, tố cáo</w:t>
      </w:r>
      <w:r/>
    </w:p>
    <w:p>
      <w:pPr>
        <w:pBdr>
          <w:bottom w:val="none" w:color="000000" w:sz="0" w:space="11"/>
        </w:pBdr>
        <w:tabs>
          <w:tab w:val="left" w:leader="none" w:pos="567"/>
        </w:tabs>
        <w:spacing w:after="120" w:before="120" w:line="259" w:lineRule="auto"/>
        <w:ind w:firstLine="567"/>
        <w:jc w:val="both"/>
        <w:rPr>
          <w:b/>
        </w:rPr>
      </w:pPr>
      <w:r>
        <w:rPr>
          <w:b/>
          <w:bCs/>
          <w:iCs/>
        </w:rPr>
        <w:t xml:space="preserve">1. </w:t>
      </w:r>
      <w:r>
        <w:rPr>
          <w:b/>
        </w:rPr>
        <w:t xml:space="preserve">Công tác quốc phòng</w:t>
      </w:r>
      <w:r>
        <w:rPr>
          <w:b/>
        </w:rPr>
      </w:r>
      <w:r>
        <w:rPr>
          <w:b/>
        </w:rPr>
      </w:r>
    </w:p>
    <w:p>
      <w:pPr>
        <w:pBdr>
          <w:bottom w:val="none" w:color="000000" w:sz="0" w:space="11"/>
        </w:pBdr>
        <w:tabs>
          <w:tab w:val="left" w:leader="none" w:pos="567"/>
        </w:tabs>
        <w:spacing w:after="120" w:before="120" w:line="259" w:lineRule="auto"/>
        <w:ind w:firstLine="567"/>
        <w:jc w:val="both"/>
        <w:rPr/>
      </w:pPr>
      <w:r>
        <w:t xml:space="preserve">Trong tháng, lực lượng vũ trang tỉnh hoàn thành tốt các nhiệm vụ được giao; duy trì nghiêm chế độ trực sẵn sàng chiến đấu các cấp; các lực lượng thực</w:t>
      </w:r>
      <w:r>
        <w:t xml:space="preserve"> hiện nghiêm công tác phối hợp nắm chắc tình hình, tuần tra kiểm soát chặt chẽ tuyến biên giới, kịp thời xử lý hiệu quả các tình huống, không để bị động bất ngờ; tổ chức tiếp nhận 353 công dân Việt Nam bị lừa lao động trái phép và vi phạm lao động lừa đảo </w:t>
      </w:r>
      <w:r>
        <w:t xml:space="preserve">trực tuyến ở Campuchia</w:t>
      </w:r>
      <w:r>
        <w:t xml:space="preserve"> chặt chẽ; thực hiện tốt công tác tuyển quân, tuyển sinh quân sự</w:t>
      </w:r>
      <w:r>
        <w:rPr>
          <w:vertAlign w:val="superscript"/>
        </w:rPr>
        <w:footnoteReference w:id="33"/>
      </w:r>
      <w:r>
        <w:t xml:space="preserve">. “Lực lượng 47” tham gia đấu tranh trên mạng xã hội phản </w:t>
      </w:r>
      <w:r>
        <w:t xml:space="preserve">bác những luận điệu chống phá Đảng, Nhà nước, Quân đội và kịp thời định hướng dư luận trước những thông tin xấu, độc trên mạng xã hội</w:t>
      </w:r>
      <w:r>
        <w:rPr>
          <w:vertAlign w:val="superscript"/>
        </w:rPr>
        <w:footnoteReference w:id="34"/>
      </w:r>
      <w:r>
        <w:t xml:space="preserve">.</w:t>
      </w:r>
      <w:r/>
    </w:p>
    <w:p>
      <w:pPr>
        <w:pBdr>
          <w:bottom w:val="none" w:color="000000" w:sz="0" w:space="11"/>
        </w:pBdr>
        <w:tabs>
          <w:tab w:val="left" w:leader="none" w:pos="567"/>
        </w:tabs>
        <w:spacing w:after="120" w:before="120" w:line="259" w:lineRule="auto"/>
        <w:ind w:firstLine="567"/>
        <w:jc w:val="both"/>
        <w:rPr>
          <w:b/>
          <w:bCs/>
          <w:iCs/>
        </w:rPr>
      </w:pPr>
      <w:r>
        <w:rPr>
          <w:b/>
        </w:rPr>
        <w:t xml:space="preserve">2. </w:t>
      </w:r>
      <w:r>
        <w:rPr>
          <w:b/>
          <w:bCs/>
          <w:iCs/>
        </w:rPr>
        <w:t xml:space="preserve">Tình hình an ninh, trật tự</w:t>
      </w:r>
      <w:r>
        <w:rPr>
          <w:b/>
          <w:bCs/>
          <w:iCs/>
        </w:rPr>
      </w:r>
      <w:r>
        <w:rPr>
          <w:b/>
          <w:bCs/>
          <w:iCs/>
        </w:rPr>
      </w:r>
    </w:p>
    <w:p>
      <w:pPr>
        <w:pBdr>
          <w:bottom w:val="none" w:color="000000" w:sz="0" w:space="11"/>
        </w:pBdr>
        <w:tabs>
          <w:tab w:val="left" w:leader="none" w:pos="567"/>
        </w:tabs>
        <w:spacing w:after="120" w:before="120" w:line="259" w:lineRule="auto"/>
        <w:ind w:firstLine="567"/>
        <w:jc w:val="both"/>
        <w:rPr/>
      </w:pPr>
      <w:r>
        <w:t xml:space="preserve">Tình hình an ninh, trật tự được giữ vững ổn định, bảo vệ tuyệt đối an ninh, an toàn hoạt động của các đồng chí lãnh đạo Đảng, Nhà nước</w:t>
      </w:r>
      <w:r>
        <w:t xml:space="preserve"> và các sự kiện chính trị, văn hóa diễn ra trên địa bàn tỉnh. Chủ động dự báo, nắm chắc tình hình nội, ngoại biên, quản lý chặt chẽ chẽ địa bàn, mục tiêu, đối tượng trọng điểm và tập trung giải quyết có hiệu quả tình hình an ninh, trật tự nổi lên tại cơ sở</w:t>
      </w:r>
      <w:r>
        <w:rPr>
          <w:vertAlign w:val="superscript"/>
        </w:rPr>
        <w:footnoteReference w:id="35"/>
      </w:r>
      <w:r>
        <w:t xml:space="preserve">. Tham mưu Ban Chỉ đạo phòng c</w:t>
      </w:r>
      <w:r>
        <w:t xml:space="preserve">hống tội phạm, tệ nạn xã hội và xây dựng phong trào Toàn dân bảo vệ an ninh Tổ quốc tỉnh tổ chức Lễ ra quân thực hiện cao điểm tấn công, trấn áp tội phạm, bảo đảm an ninh trật tự Đại hội Đảng các cấp, tiếp tới Đại hội đại biểu toàn quốc lần thứ XIV của Đản</w:t>
      </w:r>
      <w:r>
        <w:t xml:space="preserve">g và các hoạt động kỷ niệm 80 năm Cách mạng tháng Tám, Quốc khánh nước Cộng hòa xã hội chủ nghĩa Việt Nam, 80 năm Ngày truyền thống Công an nhân dân Việt Nam. Chủ động phòng ngừa, tấn công, trấn áp tội phạm, triệt xóa nhanh các nhóm tội phạm, tệ nạn xã hội</w:t>
      </w:r>
      <w:r>
        <w:rPr>
          <w:vertAlign w:val="superscript"/>
        </w:rPr>
        <w:footnoteReference w:id="36"/>
      </w:r>
      <w:r>
        <w:t xml:space="preserve">. Thực hiện đồng bộ các biện pháp quản lý nhà nước về an ninh, trật tự; tăng cường công tác kiểm ra an toàn PCCC</w:t>
      </w:r>
      <w:r>
        <w:rPr>
          <w:vertAlign w:val="superscript"/>
        </w:rPr>
        <w:footnoteReference w:id="37"/>
      </w:r>
      <w:r>
        <w:t xml:space="preserve">; tăng cường tuần tra, kiểm soát bảo đảm trật tự, an toàn giao thông, nhất là xử lý vi phạm vi phạm về nồng độ cồn, xe quá khổ, quá tải</w:t>
      </w:r>
      <w:r>
        <w:rPr>
          <w:vertAlign w:val="superscript"/>
        </w:rPr>
        <w:footnoteReference w:id="38"/>
      </w:r>
      <w:r>
        <w:t xml:space="preserve">,... Trong tháng 08, tình hình hình trật tự, an toàn giao thông cơ bản được kiểm soát </w:t>
      </w:r>
      <w:r>
        <w:rPr>
          <w:vertAlign w:val="superscript"/>
        </w:rPr>
        <w:footnoteReference w:id="39"/>
      </w:r>
      <w:r>
        <w:t xml:space="preserve">. Công tác xây dựng phong trào toàn dân bảo vệ an ninh Tổ quốc được thực hiện nghiêm túc, hiệu quả</w:t>
      </w:r>
      <w:r>
        <w:rPr>
          <w:vertAlign w:val="superscript"/>
        </w:rPr>
        <w:footnoteReference w:id="40"/>
      </w:r>
      <w:r>
        <w:t xml:space="preserve">.</w:t>
      </w:r>
      <w:r/>
    </w:p>
    <w:p>
      <w:pPr>
        <w:pBdr>
          <w:bottom w:val="none" w:color="000000" w:sz="0" w:space="11"/>
        </w:pBdr>
        <w:tabs>
          <w:tab w:val="left" w:leader="none" w:pos="567"/>
        </w:tabs>
        <w:spacing w:after="120" w:before="120" w:line="259" w:lineRule="auto"/>
        <w:ind w:firstLine="567"/>
        <w:jc w:val="both"/>
        <w:rPr>
          <w:b/>
          <w:bCs/>
          <w:iCs/>
        </w:rPr>
      </w:pPr>
      <w:r>
        <w:rPr>
          <w:b/>
          <w:bCs/>
          <w:iCs/>
        </w:rPr>
        <w:t xml:space="preserve">3. Công tác thanh tra, tiếp dân và giải quyết khiếu nại, tố cáo</w:t>
      </w:r>
      <w:r>
        <w:rPr>
          <w:b/>
          <w:bCs/>
          <w:iCs/>
        </w:rPr>
      </w:r>
      <w:r>
        <w:rPr>
          <w:b/>
          <w:bCs/>
          <w:iCs/>
        </w:rPr>
      </w:r>
    </w:p>
    <w:p>
      <w:pPr>
        <w:pBdr>
          <w:bottom w:val="none" w:color="000000" w:sz="0" w:space="11"/>
        </w:pBdr>
        <w:tabs>
          <w:tab w:val="left" w:leader="none" w:pos="567"/>
        </w:tabs>
        <w:spacing w:after="120" w:before="120" w:line="259" w:lineRule="auto"/>
        <w:ind w:firstLine="567"/>
        <w:jc w:val="both"/>
        <w:rPr>
          <w:b/>
          <w:bCs/>
        </w:rPr>
      </w:pPr>
      <w:r>
        <w:rPr>
          <w:b/>
          <w:iCs/>
        </w:rPr>
        <w:t xml:space="preserve">3.1. Công tác thanh tra</w:t>
      </w:r>
      <w:r>
        <w:rPr>
          <w:b/>
          <w:bCs/>
        </w:rPr>
      </w:r>
      <w:r>
        <w:rPr>
          <w:b/>
          <w:bCs/>
        </w:rPr>
      </w:r>
    </w:p>
    <w:p>
      <w:pPr>
        <w:pBdr>
          <w:bottom w:val="none" w:color="000000" w:sz="0" w:space="2"/>
        </w:pBdr>
        <w:tabs>
          <w:tab w:val="left" w:leader="none" w:pos="567"/>
        </w:tabs>
        <w:spacing w:after="120" w:before="120" w:line="259" w:lineRule="auto"/>
        <w:ind w:firstLine="567"/>
        <w:jc w:val="both"/>
        <w:rPr/>
      </w:pPr>
      <w:r>
        <w:rPr>
          <w:i/>
          <w:iCs/>
          <w:shd w:val="clear" w:color="auto" w:fill="ffffff"/>
        </w:rPr>
        <w:t xml:space="preserve">- </w:t>
      </w:r>
      <w:r>
        <w:t xml:space="preserve">Tổng số cuộc đang thực hiện 05; về hình thức (theo kế hoạch 01 và đột xuất 04); về tiến độ (đang tiến hành 01; kết thúc thanh tra trực tiếp 03 cuộc; đã ban hành kết luận 01); những vi phạm chủ yếu phát hiện qua thanh tra </w:t>
      </w:r>
      <w:r>
        <w:rPr>
          <w:rFonts w:eastAsia="Calibri"/>
          <w:iCs/>
        </w:rPr>
        <w:t xml:space="preserve">thuộc lĩnh vực đất đai</w:t>
      </w:r>
      <w:r>
        <w:t xml:space="preserve">. </w:t>
      </w:r>
      <w:r>
        <w:rPr>
          <w:rFonts w:eastAsia="Calibri"/>
          <w:iCs/>
        </w:rPr>
        <w:t xml:space="preserve">Xử lý về kinh tế: ban hành quyết định điều c</w:t>
      </w:r>
      <w:r>
        <w:rPr>
          <w:rFonts w:eastAsia="Calibri"/>
          <w:iCs/>
        </w:rPr>
        <w:t xml:space="preserve">hỉnh Quyết định số 72/2002/QĐ-UB ngày 03/10/2002; quyết định thu hồi Quyết định số 1436/QĐUBND ngày 31/12/2015 về việc cấp giấy cho ông Rẻ và thu hồi giấy CNQSDĐ số CH03545 ngày 06/01/2016 của ông Ngô Văn Rẻ và bà Huỳnh Thị Kim Loan với diện tích 3.476,1 m</w:t>
      </w:r>
      <w:r>
        <w:rPr>
          <w:rFonts w:eastAsia="Calibri"/>
          <w:iCs/>
          <w:vertAlign w:val="superscript"/>
        </w:rPr>
        <w:t xml:space="preserve">2</w:t>
      </w:r>
      <w:r>
        <w:rPr>
          <w:rFonts w:eastAsia="Calibri"/>
          <w:iCs/>
        </w:rPr>
        <w:t xml:space="preserve"> đất.</w:t>
      </w:r>
      <w:r/>
    </w:p>
    <w:p>
      <w:pPr>
        <w:pBdr>
          <w:bottom w:val="none" w:color="000000" w:sz="0" w:space="2"/>
        </w:pBdr>
        <w:tabs>
          <w:tab w:val="left" w:leader="none" w:pos="567"/>
        </w:tabs>
        <w:spacing w:after="120" w:before="120" w:line="259" w:lineRule="auto"/>
        <w:ind w:firstLine="567"/>
        <w:jc w:val="both"/>
        <w:rPr>
          <w:b/>
        </w:rPr>
      </w:pPr>
      <w:r>
        <w:rPr>
          <w:b/>
          <w:iCs/>
        </w:rPr>
        <w:t xml:space="preserve">3.2. Công tác tiếp công dân v</w:t>
      </w:r>
      <w:r>
        <w:rPr>
          <w:b/>
          <w:iCs/>
        </w:rPr>
        <w:t xml:space="preserve">à giải quyết khiếu nại, tố cáo</w:t>
      </w:r>
      <w:r>
        <w:rPr>
          <w:b/>
        </w:rPr>
      </w:r>
      <w:r>
        <w:rPr>
          <w:b/>
        </w:rPr>
      </w:r>
    </w:p>
    <w:p>
      <w:pPr>
        <w:pBdr>
          <w:bottom w:val="none" w:color="000000" w:sz="0" w:space="2"/>
        </w:pBdr>
        <w:tabs>
          <w:tab w:val="left" w:leader="none" w:pos="567"/>
        </w:tabs>
        <w:spacing w:after="120" w:before="120" w:line="259" w:lineRule="auto"/>
        <w:ind w:firstLine="567"/>
        <w:jc w:val="both"/>
        <w:rPr/>
      </w:pPr>
      <w:r>
        <w:t xml:space="preserve">- Trong kỳ báo cáo, lượng đơn khiếu nại, tố cáo, kiến nghị, phản ánh phát sinh tăng so với tháng trước (858/503) đơn. Nội d</w:t>
      </w:r>
      <w:r>
        <w:t xml:space="preserve">ung khiếu nại, tố cáo thuộc thẩm quyền chủ yếu gồm: Quyết định, thông báo của cơ quan nhà nước; cơ quan nhà nước làm sai quy định của pháp luật; cán bộ cơ quan nhà nước vi phạm pháp luật; hỗ trợ, bồi thường và tái định cư khi thu hồi đất; cấp và hủy Giấy c</w:t>
      </w:r>
      <w:r>
        <w:t xml:space="preserve">hứng nhận quyền sử dụng đất,...</w:t>
      </w:r>
      <w:r/>
    </w:p>
    <w:p>
      <w:pPr>
        <w:widowControl w:val="false"/>
        <w:pBdr>
          <w:bottom w:val="none" w:color="000000" w:sz="0" w:space="2"/>
        </w:pBdr>
        <w:shd w:val="clear" w:color="auto" w:fill="ffffff"/>
        <w:tabs>
          <w:tab w:val="left" w:leader="none" w:pos="567"/>
        </w:tabs>
        <w:spacing w:after="120" w:before="120" w:line="259" w:lineRule="auto"/>
        <w:ind w:firstLine="567"/>
        <w:jc w:val="both"/>
        <w:rPr>
          <w:rFonts w:eastAsia="Calibri"/>
          <w:lang w:eastAsia="vi-VN"/>
        </w:rPr>
      </w:pPr>
      <w:r>
        <w:t xml:space="preserve">- Tiếp công dân: 768 lượt; 887 người; 744 vụ việc. </w:t>
      </w:r>
      <w:r>
        <w:rPr>
          <w:rFonts w:eastAsia="Calibri"/>
        </w:rPr>
        <w:t xml:space="preserve">Trong đó có 10 đoàn, 100 người, 08 vụ việc</w:t>
      </w:r>
      <w:r>
        <w:t xml:space="preserve">.</w:t>
      </w:r>
      <w:r>
        <w:rPr>
          <w:rFonts w:eastAsia="Calibri"/>
          <w:lang w:eastAsia="vi-VN"/>
        </w:rPr>
      </w:r>
      <w:r>
        <w:rPr>
          <w:rFonts w:eastAsia="Calibri"/>
          <w:lang w:eastAsia="vi-VN"/>
        </w:rPr>
      </w:r>
    </w:p>
    <w:p>
      <w:pPr>
        <w:pBdr>
          <w:bottom w:val="none" w:color="000000" w:sz="0" w:space="2"/>
        </w:pBdr>
        <w:tabs>
          <w:tab w:val="left" w:leader="none" w:pos="567"/>
        </w:tabs>
        <w:spacing w:after="120" w:before="120" w:line="259" w:lineRule="auto"/>
        <w:ind w:firstLine="567"/>
        <w:jc w:val="both"/>
        <w:rPr/>
      </w:pPr>
      <w:r>
        <w:t xml:space="preserve">- Nội dung tiếp công dân: </w:t>
      </w:r>
      <w:r>
        <w:rPr>
          <w:rFonts w:eastAsia="Calibri"/>
          <w:lang w:eastAsia="vi-VN"/>
        </w:rPr>
        <w:t xml:space="preserve">chủ yếu là các hành vi hành chính có liên quan đến việc không thụ lý nội dung tố cáo; việc giải quyết đơn tố cáo vượt quá thời gian quy định của Luật Tố cáo, liên quan đến công tác thu hồi đất, bồi thường giá trị quyền sử dụng đất</w:t>
      </w:r>
      <w:r>
        <w:rPr>
          <w:rFonts w:eastAsia="Calibri"/>
          <w:lang w:eastAsia="vi-VN"/>
        </w:rPr>
        <w:t xml:space="preserve">,</w:t>
      </w:r>
      <w:r>
        <w:rPr>
          <w:rFonts w:eastAsia="Calibri"/>
          <w:lang w:eastAsia="vi-VN"/>
        </w:rPr>
        <w:t xml:space="preserve">…</w:t>
      </w:r>
      <w:r/>
    </w:p>
    <w:p>
      <w:pPr>
        <w:pBdr>
          <w:bottom w:val="none" w:color="000000" w:sz="0" w:space="2"/>
        </w:pBdr>
        <w:tabs>
          <w:tab w:val="left" w:leader="none" w:pos="567"/>
        </w:tabs>
        <w:spacing w:after="120" w:before="120" w:line="259" w:lineRule="auto"/>
        <w:ind w:firstLine="567"/>
        <w:jc w:val="both"/>
        <w:rPr>
          <w:b/>
          <w:lang w:val="it-IT"/>
        </w:rPr>
      </w:pPr>
      <w:r>
        <w:rPr>
          <w:b/>
          <w:lang w:val="it-IT"/>
        </w:rPr>
        <w:t xml:space="preserve">IV. Đánh giá chung</w:t>
      </w:r>
      <w:r>
        <w:rPr>
          <w:b/>
          <w:lang w:val="it-IT"/>
        </w:rPr>
      </w:r>
      <w:r>
        <w:rPr>
          <w:b/>
          <w:lang w:val="it-IT"/>
        </w:rPr>
      </w:r>
    </w:p>
    <w:p>
      <w:pPr>
        <w:pBdr>
          <w:bottom w:val="none" w:color="000000" w:sz="0" w:space="2"/>
        </w:pBdr>
        <w:tabs>
          <w:tab w:val="left" w:leader="none" w:pos="567"/>
        </w:tabs>
        <w:spacing w:after="120" w:before="120" w:line="259" w:lineRule="auto"/>
        <w:ind w:firstLine="567"/>
        <w:jc w:val="both"/>
        <w:rPr/>
      </w:pPr>
      <w:r>
        <w:t xml:space="preserve">Tình hình </w:t>
      </w:r>
      <w:r>
        <w:t xml:space="preserve">kinh tế - xã hội của tỉnh trong tháng 8 đã đạt kết quả tích cực trên hầu hết các lĩnh vực: Hoạt động sản xuất công nghiệp phát triển mạnh mẽ, chỉ số sản xuất công nghiệp (IIP) duy trì tăng trưởng hai con số. Hoạt động thương mại - dịch vụ sôi động; tổng mứ</w:t>
      </w:r>
      <w:r>
        <w:t xml:space="preserve">c bán lẻ hàng hóa dịch vụ tiêu dùng tăng mạnh; xuất nhập khẩu tương đối ổn định so với cùng kỳ. Thu ngân sách tiếp tục đạt nhiều kết quả tích cực, tăng cao so với cùng kỳ. Tỷ lệ giải ngân đầu tư công được cải thiện so với tháng trước, đạt khá so vối kế hoạ</w:t>
      </w:r>
      <w:r>
        <w:t xml:space="preserve">ch và cùng kỳ. Các cây trồng chủ lực phát triển ổn định, diện tích gieo trồng tăng; dịch bệnh trên cây trồng, vật nuôi được kiểm soát; nuôi trồng thủy sản tiếp tục đem lại hiệu quả tích cực. Các hoạt động văn hóa, nghệ thuật, thể dục thể thao, du lịch chào</w:t>
      </w:r>
      <w:r>
        <w:t xml:space="preserve"> mừng các ngày lễ lớn được tổ chức phong phú, đa dạng. Công tác khám chữa bệnh, chăm sóc sức khỏe nhân dân được quan tâm, thực hiện tốt. Các chính sách an sinh xã hội tiếp tục được duy trì, phát huy. Quốc phòng, an ninh, trật tự an toàn. Tuy nhiên, bên cạn</w:t>
      </w:r>
      <w:r>
        <w:t xml:space="preserve">h kết quả đạt được, tình hình kinh tế - xã hội của tỉnh vẫn còn tồn tại, hạn chế: Tình hình tiêu thụ nông sản không được thuận lợi; giá đa số các mặt hàng nông sản có xu hướng giảm so với tháng trước và cùng kỳ. Một số bệnh có ca mắc tăng so cùng kỳ, như: </w:t>
      </w:r>
      <w:r>
        <w:t xml:space="preserve">sốt xuất huyết, tay chân miệng, sởi, thuỷ đậu</w:t>
      </w:r>
      <w:r>
        <w:t xml:space="preserve">,</w:t>
      </w:r>
      <w:r>
        <w:t xml:space="preserve">… Số lượng đơn khiếu nại, tố cáo, kiến nghị, phản ánh tăng hơn so với tháng trước.</w:t>
      </w:r>
      <w:r/>
    </w:p>
    <w:p>
      <w:pPr>
        <w:pBdr>
          <w:bottom w:val="none" w:color="000000" w:sz="0" w:space="2"/>
        </w:pBdr>
        <w:tabs>
          <w:tab w:val="left" w:leader="none" w:pos="567"/>
        </w:tabs>
        <w:spacing w:after="120" w:before="120" w:line="259" w:lineRule="auto"/>
        <w:ind w:firstLine="567"/>
        <w:jc w:val="both"/>
        <w:rPr>
          <w:b/>
          <w:bCs/>
          <w:shd w:val="clear" w:color="auto" w:fill="ffffff"/>
        </w:rPr>
      </w:pPr>
      <w:r>
        <w:rPr>
          <w:b/>
          <w:bCs/>
          <w:shd w:val="clear" w:color="auto" w:fill="ffffff"/>
          <w:lang w:val="zu-ZA"/>
        </w:rPr>
        <w:t xml:space="preserve">B. Nhiệm vụ trọng tâm tháng 9 năm 2025</w:t>
      </w:r>
      <w:r>
        <w:rPr>
          <w:b/>
          <w:bCs/>
          <w:shd w:val="clear" w:color="auto" w:fill="ffffff"/>
        </w:rPr>
      </w:r>
      <w:r>
        <w:rPr>
          <w:b/>
          <w:bCs/>
          <w:shd w:val="clear" w:color="auto" w:fill="ffffff"/>
        </w:rPr>
      </w:r>
    </w:p>
    <w:p>
      <w:pPr>
        <w:pBdr>
          <w:bottom w:val="none" w:color="000000" w:sz="0" w:space="2"/>
        </w:pBdr>
        <w:tabs>
          <w:tab w:val="left" w:leader="none" w:pos="567"/>
        </w:tabs>
        <w:spacing w:after="120" w:before="120" w:line="259" w:lineRule="auto"/>
        <w:ind w:firstLine="567"/>
        <w:jc w:val="both"/>
        <w:rPr>
          <w:b/>
          <w:bCs/>
          <w:shd w:val="clear" w:color="auto" w:fill="ffffff"/>
        </w:rPr>
      </w:pPr>
      <w:r>
        <w:t xml:space="preserve">UBND tỉnh yêu cầu các sở, ngành tỉnh và UBND các xã, phường tập trung triển khai các nhiệm vụ, giải pháp trọng tâm về phát triển kinh tế - xã hội trong tháng 9 và giai đoạn còn lại trong năm 2025, cụ thể: </w:t>
      </w:r>
      <w:r>
        <w:rPr>
          <w:b/>
          <w:bCs/>
          <w:shd w:val="clear" w:color="auto" w:fill="ffffff"/>
        </w:rPr>
      </w:r>
      <w:r>
        <w:rPr>
          <w:b/>
          <w:bCs/>
          <w:shd w:val="clear" w:color="auto" w:fill="ffffff"/>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
          <w:shd w:val="clear" w:color="auto" w:fill="ffffff"/>
          <w:lang w:val="zu-ZA"/>
        </w:rPr>
      </w:pPr>
      <w:r>
        <w:rPr>
          <w:b/>
        </w:rPr>
        <w:t xml:space="preserve">I. Nhiệm vụ trọng tâm</w:t>
      </w:r>
      <w:r>
        <w:rPr>
          <w:b/>
          <w:shd w:val="clear" w:color="auto" w:fill="ffffff"/>
          <w:lang w:val="zu-ZA"/>
        </w:rPr>
      </w:r>
      <w:r>
        <w:rPr>
          <w:b/>
          <w:shd w:val="clear" w:color="auto" w:fill="ffffff"/>
          <w:lang w:val="zu-ZA"/>
        </w:rP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rPr>
          <w:b/>
        </w:rPr>
        <w:t xml:space="preserve">1.</w:t>
      </w:r>
      <w:r>
        <w:t xml:space="preserve"> Tập trung lãnh đạo, thực hiện nghiêm túc theo chỉ đạo của HĐND tỉnh về phương hướng, nhiệm vụ năm 2025; phấn </w:t>
      </w:r>
      <w:r>
        <w:t xml:space="preserve">đấu đạt tốc độ tăng trưởng kinh tế năm 2025 từ 10 - 11%, tạo tiền đề để Tây Ninh cùng cả nước tự tin bước vào kỷ nguyên mới - kỷ nguyên vươn mình giàu mạnh, thịnh vượng của dân tộc Việt Nam. Khẩn trương triển khai các nhiệm vụ được giao tại Quyết định số 1</w:t>
      </w:r>
      <w:r>
        <w:t xml:space="preserve">304/QĐ-UBND ngày 28/7/</w:t>
      </w:r>
      <w:r>
        <w:t xml:space="preserve">2025 của UBND tỉnh</w:t>
      </w:r>
      <w:r>
        <w:t xml:space="preserve"> về ban hành Chương trình hành động thực hiện kế hoạch phát triển kinh tế - xã hội 6 tháng cuối năm 2025. </w:t>
      </w: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rPr>
          <w:b/>
        </w:rPr>
        <w:t xml:space="preserve">2.</w:t>
      </w:r>
      <w:r>
        <w:t xml:space="preserve"> Tập trung đẩy nhanh tiến độ, giải ngân vốn đầu tư công, phấn đấu hết năm 2025 tỷ lệ giải ngân đạt 100% kế hoạch đầu tư công theo tinh thần chỉ đạo; trước mắt, tỷ lệ giải ngân hết quý III năm 2025 phải đạt trên là 75%.</w:t>
      </w: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rPr>
          <w:b/>
        </w:rPr>
        <w:t xml:space="preserve">3.</w:t>
      </w:r>
      <w:r>
        <w:t xml:space="preserve"> Tăng cường quản lý thu, đôn đốc thu, đẩy mạnh công tác thanh tra, kiểm tra thuế ngay từ đầu năm; tăng thu và tập trung chống thất thu, chuyển giá, gian lận, trốn thuế</w:t>
      </w:r>
      <w:r>
        <w:t xml:space="preserve">, bảo đảm thu đúng, thu đủ, thu kịp thời các khoản thuế, phí, lệ phí và các khoản thu khác theo quy định của pháp luật;…phấn đấu hoàn thành chỉ tiêu năm 2025 là tăng thu 20 - 30% so với năm 2024. Thực hành tiết kiệm, chống lãng phí trong chi thường xuyên. </w:t>
      </w: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rPr>
          <w:b/>
        </w:rPr>
        <w:t xml:space="preserve">4.</w:t>
      </w:r>
      <w:r>
        <w:t xml:space="preserve"> Tiế</w:t>
      </w:r>
      <w:r>
        <w:t xml:space="preserve">p tục tập trung vận hành thông suốt, hiệu quả của chính quyền địa phương 02 cấp, không để xảy ra tình trạng tắc nghẽn, gián đoạn, ảnh hưởng đến hoạt động công vụ, giải quyết thủ tục hành chính, cung cấp dịch vụ công trực tuyến cho người dân, doanh nghiệp. </w:t>
      </w: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iCs/>
        </w:rPr>
      </w:pPr>
      <w:r>
        <w:rPr>
          <w:b/>
        </w:rPr>
        <w:t xml:space="preserve">5.</w:t>
      </w:r>
      <w:r>
        <w:t xml:space="preserve"> Tiếp tục triển khai thực hiệu quả Nghị quyết số 57-NQ/TW ngày 22/12</w:t>
      </w:r>
      <w:r>
        <w:t xml:space="preserve">/2024 của Bộ Chính trị về đột phá phát triển khoa học, công nghệ, đổi mới sáng tạo và chuyển đổi số quốc gia và Nghị quyết số 68-NQ/TW ngày 04/5/2025 của Bộ Chính trị và Nghị quyết số 198/2025/QH15 ngày 17/5/2025 của Quốc hội về phát triển kinh tế tư nhân.</w:t>
      </w:r>
      <w:r>
        <w:rPr>
          <w:iCs/>
        </w:rPr>
      </w:r>
      <w:r>
        <w:rPr>
          <w:iCs/>
        </w:rPr>
      </w:r>
    </w:p>
    <w:p>
      <w:pPr>
        <w:widowControl w:val="false"/>
        <w:pBdr>
          <w:bottom w:val="none" w:color="000000" w:sz="0" w:space="1"/>
        </w:pBdr>
        <w:shd w:val="clear" w:color="auto" w:fill="ffffff"/>
        <w:tabs>
          <w:tab w:val="left" w:leader="none" w:pos="567"/>
        </w:tabs>
        <w:spacing w:after="120" w:before="120" w:line="259" w:lineRule="auto"/>
        <w:ind w:firstLine="567"/>
        <w:jc w:val="both"/>
        <w:rPr>
          <w:b/>
        </w:rPr>
      </w:pPr>
      <w:r>
        <w:rPr>
          <w:b/>
        </w:rPr>
        <w:t xml:space="preserve">II. Các nhiệm vụ trọng tâm trên các lĩnh vực</w:t>
      </w:r>
      <w:r>
        <w:rPr>
          <w:b/>
        </w:rPr>
      </w:r>
      <w:r>
        <w:rPr>
          <w:b/>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
        </w:rPr>
      </w:pPr>
      <w:r>
        <w:rPr>
          <w:b/>
          <w:bCs/>
          <w:iCs/>
          <w:lang w:val="zu-ZA"/>
        </w:rPr>
        <w:t xml:space="preserve">1.</w:t>
      </w:r>
      <w:r>
        <w:rPr>
          <w:b/>
          <w:iCs/>
          <w:lang w:val="zu-ZA"/>
        </w:rPr>
        <w:t xml:space="preserve"> Về nông - lâm - thủy sản</w:t>
      </w:r>
      <w:r>
        <w:rPr>
          <w:b/>
        </w:rPr>
      </w:r>
      <w:r>
        <w:rPr>
          <w:b/>
        </w:rPr>
      </w:r>
    </w:p>
    <w:p>
      <w:pPr>
        <w:pBdr/>
        <w:tabs>
          <w:tab w:val="left" w:leader="none" w:pos="567"/>
        </w:tabs>
        <w:spacing w:after="120" w:before="120" w:line="259" w:lineRule="auto"/>
        <w:ind w:firstLine="567"/>
        <w:jc w:val="both"/>
        <w:rPr>
          <w:shd w:val="clear" w:color="auto" w:fill="ffffff"/>
          <w:lang w:val="en-AU" w:eastAsia="vi-VN"/>
        </w:rPr>
      </w:pPr>
      <w:r>
        <w:rPr>
          <w:i/>
        </w:rPr>
        <w:t xml:space="preserve">- Sở Nông nghiệp và Môi trường chủ trì: </w:t>
      </w:r>
      <w:r>
        <w:rPr>
          <w:iCs/>
          <w:lang w:val="zu-ZA"/>
        </w:rPr>
        <w:t xml:space="preserve">P</w:t>
      </w:r>
      <w:r>
        <w:rPr>
          <w:iCs/>
          <w:lang w:val="zu-ZA"/>
        </w:rPr>
        <w:t xml:space="preserve">hấn đấu tốc độ tăng trưởng khu vực nông - lâm - thủy sản đạt 4% trở lên trong năm 2025. </w:t>
      </w:r>
      <w:r>
        <w:rPr>
          <w:lang w:val="it-IT"/>
        </w:rPr>
        <w:t xml:space="preserve">Tập trung t</w:t>
      </w:r>
      <w:r>
        <w:rPr>
          <w:spacing w:val="-2"/>
          <w:lang w:val="it-IT"/>
        </w:rPr>
        <w:t xml:space="preserve">riển khai </w:t>
      </w:r>
      <w:r>
        <w:rPr>
          <w:shd w:val="clear" w:color="auto" w:fill="ffffff"/>
          <w:lang w:val="it-IT"/>
        </w:rPr>
        <w:t xml:space="preserve">Đề án “Phát triển bền vững 1 triệu hecta chuyên canh lúa chất lượng cao và phát thải </w:t>
      </w:r>
      <w:r>
        <w:rPr>
          <w:shd w:val="clear" w:color="auto" w:fill="ffffff"/>
          <w:lang w:val="it-IT"/>
        </w:rPr>
        <w:t xml:space="preserve">thấp gắn với tăng trưởng xanh vùng Đồng bằng sông Cửu Long đến năm 2030” đảm bảo theo kế hoạch đề ra. </w:t>
      </w:r>
      <w:r>
        <w:rPr>
          <w:rFonts w:eastAsia="Aptos"/>
          <w14:ligatures w14:val="standardContextual"/>
        </w:rPr>
        <w:t xml:space="preserve">Tiếp </w:t>
      </w:r>
      <w:r>
        <w:rPr>
          <w:rFonts w:eastAsia="Aptos"/>
          <w14:ligatures w14:val="standardContextual"/>
        </w:rPr>
        <w:t xml:space="preserve">tục triển khai thực hiện Kế hoạch truyền thông phòng chống dịch bệnh trên cạn; thực hiện Kế hoạch tổng vệ sinh tiêu độc khử trùng môi trường chăn nuôi đợt 2/2025; thực hiện xử lý ổ dịch, triển khai khống chế theo quy định, không để lây lan trên diện rộng. </w:t>
      </w:r>
      <w:r>
        <w:rPr>
          <w:shd w:val="clear" w:color="auto" w:fill="ffffff"/>
          <w:lang w:val="en-AU" w:eastAsia="vi-VN"/>
        </w:rPr>
        <w:t xml:space="preserve">Tiếp tục triển khai </w:t>
      </w:r>
      <w:r>
        <w:rPr>
          <w:bCs/>
        </w:rPr>
        <w:t xml:space="preserve">Đề án “Phát triển vùng nuôi trồng chuyên canh thủy sản gắn với hệ thống kênh thuộc công trình thủy lợi Dầu Tiếng - Phước Hòa giai đoạn 2021 - 2025, định hướng đến năm 2030”.</w:t>
      </w:r>
      <w:r>
        <w:rPr>
          <w:iCs/>
        </w:rPr>
        <w:t xml:space="preserve"> </w:t>
      </w:r>
      <w:r>
        <w:t xml:space="preserve">Đẩy mạnh công tác quản lý, giám sát </w:t>
      </w:r>
      <w:r>
        <w:rPr>
          <w:iCs/>
        </w:rPr>
        <w:t xml:space="preserve">các</w:t>
      </w:r>
      <w:r>
        <w:t xml:space="preserve"> mã số vùng trồng, </w:t>
      </w:r>
      <w:r>
        <w:rPr>
          <w:iCs/>
        </w:rPr>
        <w:t xml:space="preserve">mã số cơ sở</w:t>
      </w:r>
      <w:r>
        <w:t xml:space="preserve"> đóng gói; </w:t>
      </w:r>
      <w:r>
        <w:rPr>
          <w:iCs/>
        </w:rPr>
        <w:t xml:space="preserve">hỗ trợ xây dựng chuỗi sản xuất, cung ứng sản phẩm nông sản an toàn; hỗ trợ kết nối sản xuất, chế biến, tiêu thụ sản phẩm nông nghiệp.</w:t>
      </w:r>
      <w:r>
        <w:t xml:space="preserve"> Chú trọng việc xây dựng thương hiệu và quảng bá sản phẩm nông nghiệp.</w:t>
      </w:r>
      <w:r>
        <w:rPr>
          <w:shd w:val="clear" w:color="auto" w:fill="ffffff"/>
          <w:lang w:val="en-AU" w:eastAsia="vi-VN"/>
        </w:rPr>
      </w:r>
      <w:r>
        <w:rPr>
          <w:shd w:val="clear" w:color="auto" w:fill="ffffff"/>
          <w:lang w:val="en-AU" w:eastAsia="vi-VN"/>
        </w:rP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t xml:space="preserve">Rà soát, đánh giá hiện trạng xây dựng nông thôn mới trên địa bàn các xã sau sáp nhập và thực hiện chính quyền hai cấp. Tham mưu xây dựng Dự thảo Nghị quyết Quy định nguyên tắc, tiêu chí, định mức phân bổ vốn ngân sá</w:t>
      </w:r>
      <w:r>
        <w:t xml:space="preserve">ch nhà nước và tỷ lệ vốn đối ứng thực hiện Chương trình Mục tiêu quốc gia xây dựng nông thôn mới giai đoạn 2021 - 2025. Tăng cường công tác kiểm tra, kiểm soát, tuyên truyền về săn bắt, mua bán các loài động vật hoang dã, quản lý lâm sản trên địa bàn tỉnh.</w:t>
      </w:r>
      <w:r/>
    </w:p>
    <w:p>
      <w:pPr>
        <w:widowControl w:val="false"/>
        <w:pBdr>
          <w:bottom w:val="none" w:color="000000" w:sz="0" w:space="1"/>
        </w:pBdr>
        <w:shd w:val="clear" w:color="auto" w:fill="ffffff"/>
        <w:tabs>
          <w:tab w:val="left" w:leader="none" w:pos="567"/>
        </w:tabs>
        <w:spacing w:after="120" w:before="120" w:line="259" w:lineRule="auto"/>
        <w:ind w:firstLine="567"/>
        <w:jc w:val="both"/>
        <w:rPr>
          <w:lang w:val="vi-VN"/>
        </w:rPr>
      </w:pPr>
      <w:r>
        <w:rPr>
          <w:i/>
        </w:rPr>
        <w:t xml:space="preserve">- Sở Công Thương:</w:t>
      </w:r>
      <w:r>
        <w:t xml:space="preserve"> Tiếp tục triển khai thực hiện Công điện số 21/CĐ-TTg ngày 04/3/20</w:t>
      </w:r>
      <w:r>
        <w:t xml:space="preserve">25 của Thủ tướng Chính phủ về việc điều hành bảo đảm cân đối lúa gạo trước diễn biến thị trường trong nước và thế giới; triển khai kế hoạch kiểm tra hậu kiểm điều kiện kho chứa, cơ sở xay, xát, chế biến lúa gạo đối với thương nhân kinh doanh xuất khẩu gạo.</w:t>
      </w:r>
      <w:r>
        <w:rPr>
          <w:lang w:val="vi-VN"/>
        </w:rPr>
      </w:r>
      <w:r>
        <w:rPr>
          <w:lang w:val="vi-VN"/>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
        </w:rPr>
      </w:pPr>
      <w:r>
        <w:rPr>
          <w:b/>
          <w:bCs/>
          <w:lang w:val="da-DK"/>
        </w:rPr>
        <w:t xml:space="preserve">2.</w:t>
      </w:r>
      <w:r>
        <w:rPr>
          <w:b/>
          <w:lang w:val="da-DK"/>
        </w:rPr>
        <w:t xml:space="preserve"> Về công nghiệp - xây dựng</w:t>
      </w:r>
      <w:r>
        <w:rPr>
          <w:b/>
        </w:rPr>
      </w:r>
      <w:r>
        <w:rPr>
          <w:b/>
        </w:rP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rPr>
          <w:i/>
          <w:iCs/>
        </w:rPr>
        <w:t xml:space="preserve">- Các Sở, ngành tỉnh và UBND các xã, phường, các chủ đầu tư:</w:t>
      </w:r>
      <w:r>
        <w:t xml:space="preserve"> Chủ động phối hợp rà soát, đề xuất xử lý dự án đầu tư chậm, không thực hiện; phối hợp thực hiện quyết liệt trong việc quản lý, xử lý đối với các dự án không phép. Tập trung lãnh đạo, chỉ đạo quyết l</w:t>
      </w:r>
      <w:r>
        <w:t xml:space="preserve">iệt, có hiệu quả trong thực hiện công tác bồi thường, giải phóng mặt bằng và tái định cư; đẩy nhanh tiến độ thực hiện các dự án trên địa bàn. Tập trung đẩy nhanh giải ngân vốn đầu tư công; phấn đấu đạt tỷ lệ giải ngân cao nhất có thể từng tuần, từng tháng.</w:t>
      </w: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rPr>
          <w:i/>
          <w:iCs/>
        </w:rPr>
        <w:t xml:space="preserve">-  Sở Công Thương, Ban Quản lý K</w:t>
      </w:r>
      <w:r>
        <w:rPr>
          <w:i/>
          <w:iCs/>
        </w:rPr>
        <w:t xml:space="preserve">hu kinh tế tỉnh chủ trì:</w:t>
      </w:r>
      <w:r>
        <w:t xml:space="preserve"> Theo dõi, kiểm tra, đôn đốc, báo cáo tình hình đầu tư các khu, cụm công nghiệp đang </w:t>
      </w:r>
      <w:r>
        <w:t xml:space="preserve">hoạt động; đồng thời, kịp thời đề xuất giải pháp, tăng cường hỗ trợ, hướng dẫn thủ tục, pháp lý cho khu, cụm công nghiệp đang làm thủ tục đầu tư; đẩy nhanh tiến độ hoàn thành các khu, cụm công nghiệp nhằm có thêm các khu, cụm công nghiệp đi vào hoạt động. </w:t>
      </w:r>
      <w:r>
        <w:rPr>
          <w:i/>
          <w:iCs/>
        </w:rPr>
        <w:t xml:space="preserve">Ban Quản lý Khu kinh tế tỉnh</w:t>
      </w:r>
      <w:r>
        <w:t xml:space="preserve"> tiếp tục khẩn trương hoàn thiện Đề án thành lập Khu kinh tế Tây Ninh. </w:t>
      </w: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rPr>
          <w:i/>
          <w:iCs/>
        </w:rPr>
        <w:t xml:space="preserve">Sở Công Thương</w:t>
      </w:r>
      <w:r>
        <w:t xml:space="preserve"> tham mưu trình UBND tỉnh Quyết định ban hành Quy chế quản lý cụm công nghiệp trên địa bàn tỉnh; điều chỉnh, bổ sung Phương án phát </w:t>
      </w:r>
      <w:r>
        <w:t xml:space="preserve">triển công nghiệp chủ yếu thời kỳ 2021 - 2030,</w:t>
      </w:r>
      <w:r>
        <w:rPr>
          <w:spacing w:val="3"/>
          <w:shd w:val="clear" w:color="auto" w:fill="ffffff"/>
        </w:rPr>
        <w:t xml:space="preserve"> </w:t>
      </w:r>
      <w:r>
        <w:t xml:space="preserve">tiếp tục phối hợp các đơn vị liên quan tháo gỡ khó khăn, vướng mắc; đẩy nhanh tiến độ triển khai nhà máy nhiệt điện LNG I &amp;II, yêu cầu khởi công chậm nhất trong tháng 11,</w:t>
      </w:r>
      <w:r>
        <w:t xml:space="preserve"> </w:t>
      </w:r>
      <w:r>
        <w:t xml:space="preserve">12 năm 2025.  </w:t>
      </w: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rPr>
          <w:i/>
          <w:iCs/>
        </w:rPr>
        <w:t xml:space="preserve">- Sở Tài chính chủ trì:</w:t>
      </w:r>
      <w:r>
        <w:t xml:space="preserve"> Thực hiện trong công tác quản lý, giám sát chặt chẽ đầu tư công theo đúng quy định của pháp luật; tháo gỡ các khó khăn vướng mắc, kịp thời điều hòa vốn nhằm giải ngân kịp thời các nguồn vốn đầu tư công đã giao trong năm 2025. </w:t>
      </w: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rPr>
          <w:i/>
          <w:iCs/>
        </w:rPr>
        <w:t xml:space="preserve">- Sở Nông nghiệp và Môi trường chủ trì, phối hợp với UBND các xã, phường:</w:t>
      </w:r>
      <w:r>
        <w:t xml:space="preserve"> Ti</w:t>
      </w:r>
      <w:r>
        <w:t xml:space="preserve">ếp tục đẩy nhanh công tác bồi thường giải phóng mặt bằng nhất là các công trình trọng điểm; phấn đấu đạt chỉ tiêu giải phóng mặt bằng ở mức cao nhất có thể trong từng tuần, từng tháng, từng quý. </w:t>
      </w: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rPr>
          <w:i/>
          <w:iCs/>
        </w:rPr>
        <w:t xml:space="preserve">- Sở Xây dựng chủ trì, phối hợp với UBND các xã, phường:</w:t>
      </w:r>
      <w:r>
        <w:t xml:space="preserve"> Đẩy nhanh tiến độ lập quy hoạch các dự án quan trọng được giao; tập trung xây dựng Đề án phát triển không gian kinh tế dọc hành lang </w:t>
      </w:r>
      <w:r>
        <w:t xml:space="preserve">phát triển phía Nam tỉnh Tây Ninh đến năm 2050. Tăng cường quản lý chất lượng dân cư đô thị, thiết lập lại trật tự trong quản lý dân cư đô thị; kiên quyết xử lý các hành vi xây dựng trái phép, không phép. Tiếp tục triển khai Đề án phát triển nhà ở xã hội. </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lang w:val="da-DK"/>
        </w:rPr>
      </w:pPr>
      <w:r>
        <w:t xml:space="preserve">Tiếp tục đẩy nhanh tiến đ</w:t>
      </w:r>
      <w:r>
        <w:t xml:space="preserve">ộ thực hiện các công trình thuộc Chương trình huy động mọi nguồn lực và các công trình trọng điểm của tỉnh; kịp thời báo cáo UBND tỉnh tháo gỡ khó khăn, vướng mắc. Tiếp tục phối hợp chặt chẽ với các địa phương liên quan, Bộ ngành trung ương thực hiện thủ t</w:t>
      </w:r>
      <w:r>
        <w:t xml:space="preserve">ục triển khai đường Vành đai 4 T</w:t>
      </w:r>
      <w:r>
        <w:t xml:space="preserve">hành phố Hồ Chí Minh.</w:t>
      </w:r>
      <w:r>
        <w:rPr>
          <w:lang w:val="da-DK"/>
        </w:rPr>
      </w:r>
      <w:r>
        <w:rPr>
          <w:lang w:val="da-DK"/>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
        </w:rPr>
      </w:pPr>
      <w:r>
        <w:rPr>
          <w:b/>
          <w:bCs/>
          <w:lang w:val="da-DK"/>
        </w:rPr>
        <w:t xml:space="preserve">3.</w:t>
      </w:r>
      <w:r>
        <w:rPr>
          <w:b/>
          <w:lang w:val="da-DK"/>
        </w:rPr>
        <w:t xml:space="preserve"> Về thương mại - dịch vụ</w:t>
      </w:r>
      <w:r>
        <w:rPr>
          <w:b/>
        </w:rPr>
      </w:r>
      <w:r>
        <w:rPr>
          <w:b/>
        </w:rP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t xml:space="preserve">- </w:t>
      </w:r>
      <w:r>
        <w:rPr>
          <w:i/>
        </w:rPr>
        <w:t xml:space="preserve">Sở Công Thương</w:t>
      </w:r>
      <w:r>
        <w:t xml:space="preserve"> </w:t>
      </w:r>
      <w:r>
        <w:rPr>
          <w:i/>
        </w:rPr>
        <w:t xml:space="preserve">chủ trì:</w:t>
      </w:r>
      <w:r>
        <w:t xml:space="preserve"> Tiếp tục triển khai thực hiện Đề án phát triển thương hiệu; kế hoạch khảo sát hoạt động thương mại điện tử; kế hoạch thương mại điện tử năm 2025; kế hoạch tổ chức các hoạt động thương mại tại tỉnh Tây Ninh năm 2025. Tiếp tục tham mưu tổ chức Hội ng</w:t>
      </w:r>
      <w:r>
        <w:t xml:space="preserve">hị gặp gỡ các Tham tán thương mại và cơ quan xúc tiến thương mại tỉnh Tây Ninh năm 2025. Xây dựng Kế hoạch thực hiện phát triển thương mại biên giới tỉnh từ năm 2026, định hướng đến năm 2030 gắn với đảm bảo quốc phòng an ninh trên địa bàn tỉnh đến năm 2030</w:t>
      </w:r>
      <w:r>
        <w:rPr>
          <w:spacing w:val="3"/>
          <w:shd w:val="clear" w:color="auto" w:fill="ffffff"/>
        </w:rPr>
        <w:t xml:space="preserve">.</w:t>
      </w:r>
      <w:r>
        <w:rPr>
          <w:lang w:val="nl-NL"/>
        </w:rPr>
        <w:t xml:space="preserve"> Tổ chức Hội nghị kết nối chuỗi cung ứng hàng hóa xuất nhập khẩu, thương mại điện tử tỉnh Tây Ninh năm 2025 (dự kiến ngày 6/9/2025). Triển khai Kế hoạch tổ chức phiên chợ thanh toán không dùng tiền mặt (dự kiến tháng 11/2025).</w:t>
      </w:r>
      <w:r>
        <w:rPr>
          <w:spacing w:val="3"/>
          <w:shd w:val="clear" w:color="auto" w:fill="ffffff"/>
        </w:rPr>
        <w:t xml:space="preserve"> </w:t>
      </w:r>
      <w:r>
        <w:t xml:space="preserve">Hỗ trợ phát huy hiệu quả hoạt động của Cảng Quốc tế Long An để phát triển dịch vụ cảng, logistics. </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t xml:space="preserve">Tăng cường thực hiện nghiêm, hiệu quả các chỉ đạo của Chính phủ, Thủ tướng Chính phủ (Chỉ thị số 13/CT-TTg, Công điện số 65/CĐ-TTg, Công điện 82/CĐ-TTg) và các văn bản chỉ đạo của Ban Chỉ đạo 389 quốc gia về công tác </w:t>
      </w:r>
      <w:r>
        <w:t xml:space="preserve">phòng, chống buôn lậu, gian lận thương mại, hàng giả, nhất là phòng, chống hàng giả, xâm phạm quyền sở hữu trí tuệ trong tình hình mới. </w:t>
      </w:r>
      <w:r>
        <w:rPr>
          <w:lang w:val="zu-ZA"/>
        </w:rPr>
        <w:t xml:space="preserve"> </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
        </w:rPr>
      </w:pPr>
      <w:r>
        <w:rPr>
          <w:b/>
          <w:bCs/>
          <w:lang w:val="zu-ZA"/>
        </w:rPr>
        <w:t xml:space="preserve">4.</w:t>
      </w:r>
      <w:r>
        <w:rPr>
          <w:b/>
          <w:lang w:val="zu-ZA"/>
        </w:rPr>
        <w:t xml:space="preserve"> Tăng cường các hoạt động hỗ trợ, phát triển doanh nghiệp; thúc đẩy sản xuất kinh doanh</w:t>
      </w:r>
      <w:r>
        <w:rPr>
          <w:b/>
        </w:rPr>
      </w:r>
      <w:r>
        <w:rPr>
          <w:b/>
        </w:rP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rPr>
          <w:spacing w:val="-4"/>
        </w:rPr>
        <w:t xml:space="preserve">-</w:t>
      </w:r>
      <w:r>
        <w:rPr>
          <w:i/>
          <w:spacing w:val="-4"/>
        </w:rPr>
        <w:t xml:space="preserve"> Sở Tài chính chủ trì:</w:t>
      </w:r>
      <w:r>
        <w:rPr>
          <w:spacing w:val="-4"/>
        </w:rPr>
        <w:t xml:space="preserve"> T</w:t>
      </w:r>
      <w:r>
        <w:rPr>
          <w:spacing w:val="-4"/>
        </w:rPr>
        <w:t xml:space="preserve">ập trung phối hợp các đơn vị liên quan kịp thời điều chỉnh quy hoạch tỉnh. </w:t>
      </w:r>
      <w:r>
        <w:t xml:space="preserve">Chủ động tháo gỡ triệt để các rào cản đối với hoạt động đầu tư kinh doanh, báo cáo UBND tỉnh (nếu vượt thẩm quyền). </w:t>
      </w:r>
      <w:r>
        <w:rPr>
          <w:spacing w:val="-4"/>
        </w:rPr>
        <w:t xml:space="preserve">Triển khai các giải pháp hiệu quả để cải thiện mạnh mẽ môi trường kinh doanh, nâng cao năng lực cạnh tranh cả tỉnh; theo dõi tiến độ thực hiện, kịp thời đề xuất UBND tỉnh chỉ đạo tháo gỡ khó khăn, vướng </w:t>
      </w:r>
      <w:r>
        <w:rPr>
          <w:spacing w:val="-4"/>
        </w:rPr>
        <w:t xml:space="preserve">mắc các dự án đầu tư trọng điểm, tăng cường công tác xúc tiến và hỗ trợ đầu tư. Tiếp  tục tăng cường tháo gỡ khó khăn, vướng mắc các dự án ngoài ngân sách chậm tiến độ; có kế hoạch xử lý cụ thể, nhanh chóng đưa các dự án này khởi công và đi vào hoạt động. </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t xml:space="preserve">- </w:t>
      </w:r>
      <w:r>
        <w:rPr>
          <w:i/>
        </w:rPr>
        <w:t xml:space="preserve">Các Sở, ngành tỉnh và UBND các xã, phường chủ trì:</w:t>
      </w:r>
      <w:r>
        <w:t xml:space="preserve"> Tiếp tục phát huy hiệu quả Bộ chỉ số đánh giá năng lực cạnh tranh cấp sở, ngành và địa phương (DDCI), góp phần nâng cao các chỉ số: PCI, PGI, PAPI, PAR Index, SIPAS (gọi chung là nhóm chỉ số 4P1S).</w:t>
      </w:r>
      <w:r>
        <w:rPr>
          <w:bCs/>
          <w:lang w:val="zu-ZA"/>
        </w:rPr>
        <w:t xml:space="preserve"> </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
        </w:rPr>
      </w:pPr>
      <w:r>
        <w:rPr>
          <w:b/>
          <w:bCs/>
          <w:lang w:val="zu-ZA"/>
        </w:rPr>
        <w:t xml:space="preserve">5.</w:t>
      </w:r>
      <w:r>
        <w:rPr>
          <w:b/>
          <w:lang w:val="zu-ZA"/>
        </w:rPr>
        <w:t xml:space="preserve"> Về Tài chính - Tín dụng</w:t>
      </w:r>
      <w:r>
        <w:rPr>
          <w:b/>
        </w:rPr>
      </w:r>
      <w:r>
        <w:rPr>
          <w:b/>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lang w:val="zu-ZA"/>
        </w:rPr>
        <w:t xml:space="preserve">- </w:t>
      </w:r>
      <w:r>
        <w:rPr>
          <w:i/>
        </w:rPr>
        <w:t xml:space="preserve">Sở Tài chính, Thuế tỉnh</w:t>
      </w:r>
      <w:r>
        <w:t xml:space="preserve"> </w:t>
      </w:r>
      <w:r>
        <w:rPr>
          <w:i/>
        </w:rPr>
        <w:t xml:space="preserve">chủ trì:</w:t>
      </w:r>
      <w:r>
        <w:rPr>
          <w:lang w:val="zu-ZA"/>
        </w:rPr>
        <w:t xml:space="preserve"> Triển khai quyết liệt, đồng bộ</w:t>
      </w:r>
      <w:r>
        <w:rPr>
          <w:lang w:val="zu-ZA"/>
        </w:rPr>
        <w:t xml:space="preserve"> các giải pháp quản lý thu, phấn đấu hoàn thành chỉ tiêu thu ngân sách HĐND tỉnh giao, nhất là các địa bàn có số thu lớn. Thực hiện tốt các giải pháp kiểm tra, đôn đốc thu hồi nợ đọng thuế, cưỡng chế nợ thuế nhằm thu dứt điểm nợ thuế năm trước chuyển sang.</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rFonts w:eastAsia="Calibri"/>
          <w:lang w:val="zu-ZA"/>
        </w:rPr>
        <w:t xml:space="preserve">- </w:t>
      </w:r>
      <w:r>
        <w:rPr>
          <w:i/>
        </w:rPr>
        <w:t xml:space="preserve">Ngân hàng Nhà nước Khu vực XIII chủ trì:</w:t>
      </w:r>
      <w:r>
        <w:rPr>
          <w:rFonts w:eastAsia="Calibri"/>
          <w:lang w:val="zu-ZA"/>
        </w:rPr>
        <w:t xml:space="preserve"> </w:t>
      </w:r>
      <w:r>
        <w:rPr>
          <w:lang w:val="zu-ZA"/>
        </w:rPr>
        <w:t xml:space="preserve">Triển khai thực hiện các chính sách, chương trình tín dụng theo chỉ đạo của Chính phủ, Thủ tướng Chính phủ như tín dụng phục vụ phát triển nông nghiệp, nông thôn; các chương trình, chí</w:t>
      </w:r>
      <w:r>
        <w:rPr>
          <w:lang w:val="zu-ZA"/>
        </w:rPr>
        <w:t xml:space="preserve">nh sách tín dụng phục vụ sản xuất kinh doanh, tín dụng tiêu dùng của người dân trên địa bàn. Chỉ đạo, hướng dẫn, theo dõi đôn đốc và giám sát các tổ chức tín dụng trên địa bàn thực hiện các giải pháp về tiền tệ, tín dụng của Chính phủ, Ngân hàng nhà nước. </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
        </w:rPr>
      </w:pPr>
      <w:r>
        <w:rPr>
          <w:b/>
          <w:lang w:val="zu-ZA"/>
        </w:rPr>
        <w:t xml:space="preserve">6. Về Tài nguyên môi trường</w:t>
      </w:r>
      <w:r>
        <w:rPr>
          <w:b/>
        </w:rPr>
      </w:r>
      <w:r>
        <w:rPr>
          <w:b/>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rFonts w:eastAsia="Arial"/>
        </w:rPr>
      </w:pPr>
      <w:r>
        <w:rPr>
          <w:i/>
          <w:lang w:val="zu-ZA"/>
        </w:rPr>
        <w:t xml:space="preserve">Sở Nông nghiệp và Môi trường chủ trì:</w:t>
      </w:r>
      <w:r>
        <w:rPr>
          <w:lang w:val="zu-ZA"/>
        </w:rPr>
        <w:t xml:space="preserve"> </w:t>
      </w:r>
      <w:r>
        <w:t xml:space="preserve">Tổng kết </w:t>
      </w:r>
      <w:r>
        <w:t xml:space="preserve">40 năm hoàn thành và đưa vào khai thác hồ Dầu Tiếng, tham mưu đề xuất các giải pháp khai thác có hiệu quả hồ thủy lợi Dầu Tiếng theo hướng đa mục tiêu phù hợp với tiềm năng, lợi thế phục vụ phát triển kinh tế - xã hội của địa phương và cả Vùng Đông Nam bộ.</w:t>
      </w:r>
      <w:r>
        <w:rPr>
          <w:lang w:val="vi-VN"/>
        </w:rPr>
        <w:t xml:space="preserve"> Phối hợp với địa phương rà soát công tác thu gom, vận chuyển, xử lý chất thải rắn sinh hoạt.</w:t>
      </w:r>
      <w:r>
        <w:t xml:space="preserve"> </w:t>
      </w:r>
      <w:r>
        <w:rPr>
          <w:rFonts w:eastAsia="Arial"/>
          <w:lang w:val="nb-NO"/>
        </w:rPr>
        <w:t xml:space="preserve">Tăng cường kiểm tra trên các lĩnh vực đất đai, môi trường, khoáng sản và tài nguyên nước để kịp thời ngăn chặn, khắc phục hậu quả và xử lý nghiêm các hành vi vi phạm theo quy định của pháp luật hiện hành. Rà soát các hầm đất, công tác </w:t>
      </w:r>
      <w:r>
        <w:rPr>
          <w:rFonts w:eastAsia="Arial"/>
          <w:lang w:val="nb-NO"/>
        </w:rPr>
        <w:t xml:space="preserve">đấu giá, quản lý đất công, công tác thẩm định giá. Tiếp tục theo dõi, đôn đốc thực hiện các nhiệm vụ, giải pháp cải thiện, nâng cao chỉ số xanh cấp tỉnh (PGI) của tỉnh. </w:t>
      </w:r>
      <w:r>
        <w:rPr>
          <w:rFonts w:eastAsia="Arial"/>
        </w:rPr>
      </w:r>
      <w:r>
        <w:rPr>
          <w:rFonts w:eastAsia="Arial"/>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
        </w:rPr>
      </w:pPr>
      <w:r>
        <w:rPr>
          <w:b/>
          <w:bCs/>
          <w:lang w:val="zu-ZA"/>
        </w:rPr>
        <w:t xml:space="preserve">7.</w:t>
      </w:r>
      <w:r>
        <w:rPr>
          <w:rFonts w:eastAsia="Calibri"/>
          <w:b/>
          <w:lang w:val="zu-ZA"/>
        </w:rPr>
        <w:t xml:space="preserve"> V</w:t>
      </w:r>
      <w:r>
        <w:rPr>
          <w:rFonts w:eastAsia="Lucida Sans Unicode"/>
          <w:b/>
          <w:iCs/>
          <w:lang w:val="it-IT" w:eastAsia="zh-CN" w:bidi="hi-IN"/>
        </w:rPr>
        <w:t xml:space="preserve">ề Khoa học và Công nghệ</w:t>
      </w:r>
      <w:r>
        <w:rPr>
          <w:rFonts w:eastAsia="Calibri"/>
          <w:b/>
          <w:lang w:val="zu-ZA"/>
        </w:rPr>
        <w:t xml:space="preserve">, đổi mới sáng tạo, chuyển đổi số</w:t>
      </w:r>
      <w:r>
        <w:rPr>
          <w:b/>
        </w:rPr>
      </w:r>
      <w:r>
        <w:rPr>
          <w:b/>
        </w:rPr>
      </w:r>
    </w:p>
    <w:p>
      <w:pPr>
        <w:pBdr>
          <w:bottom w:val="none" w:color="000000" w:sz="0" w:space="0"/>
        </w:pBdr>
        <w:tabs>
          <w:tab w:val="left" w:leader="none" w:pos="567"/>
        </w:tabs>
        <w:spacing w:after="120" w:before="120" w:line="259" w:lineRule="auto"/>
        <w:ind w:firstLine="567"/>
        <w:jc w:val="both"/>
        <w:rPr/>
      </w:pPr>
      <w:r>
        <w:rPr>
          <w:i/>
        </w:rPr>
        <w:t xml:space="preserve">Sở Khoa học và Công nghệ chủ trì</w:t>
      </w:r>
      <w:r>
        <w:t xml:space="preserve">: </w:t>
      </w:r>
      <w:r>
        <w:rPr>
          <w:rStyle w:val="2083"/>
        </w:rPr>
        <w:t xml:space="preserve">Ban hành kế hoạch kiểm tra tiến độ các nhiệm vụ khoa học và công nghệ</w:t>
      </w:r>
      <w:r>
        <w:t xml:space="preserve">. </w:t>
      </w:r>
      <w:r>
        <w:rPr>
          <w:rStyle w:val="2084"/>
        </w:rPr>
        <w:t xml:space="preserve">Thành lập các Hội đồng tư vấn để xác định và tuyển chọn tổ chức, cá nhân thực hiện nhiệm vụ khoa học và công nghệ cấp tỉnh năm 2026</w:t>
      </w:r>
      <w:r>
        <w:t xml:space="preserve">. Tiếp tục theo dõi vận hành, triển khai đưa dữ</w:t>
      </w:r>
      <w:r>
        <w:t xml:space="preserve"> liệu vào Kho cơ sở dữ liệu dùng chung theo các Quyết định của UBND tỉnh; theo dõi vận hành Trung tâm Điều hành thông minh (theo dõi vận hành Hệ thống 1022, Ứng dụng Tây Ninh Số, App Tây Ninh IOC,…), tham mưu UBND tỉnh chỉ đạo, đôn đốc các ngành thực hiện.</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rFonts w:eastAsia="Calibri"/>
          <w:b/>
          <w:bCs/>
          <w:iCs/>
          <w:lang w:val="it-IT"/>
        </w:rPr>
        <w:t xml:space="preserve">8. </w:t>
      </w:r>
      <w:r>
        <w:rPr>
          <w:rFonts w:eastAsia="Calibri"/>
          <w:b/>
          <w:lang w:val="it-IT"/>
        </w:rPr>
        <w:t xml:space="preserve">Đẩy nhanh</w:t>
      </w:r>
      <w:r>
        <w:rPr>
          <w:b/>
          <w:lang w:val="it-IT"/>
        </w:rPr>
        <w:t xml:space="preserve"> tiến độ thực hiện các kế hoạch, chương trình mục tiêu, nhiệm vụ trọng tâm năm 2025 trên lĩnh vực văn hóa xã hội</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rFonts w:eastAsia="Calibri"/>
          <w:bCs/>
          <w:iCs/>
          <w:lang w:val="it-IT"/>
        </w:rPr>
        <w:t xml:space="preserve">- </w:t>
      </w:r>
      <w:r>
        <w:rPr>
          <w:i/>
        </w:rPr>
        <w:t xml:space="preserve">Sở Y tế chủ trì:</w:t>
      </w:r>
      <w:r>
        <w:t xml:space="preserve"> thực hiện nghiêm Thông báo số </w:t>
      </w:r>
      <w:r>
        <w:rPr>
          <w:sz w:val="26"/>
          <w:szCs w:val="26"/>
        </w:rPr>
        <w:t xml:space="preserve">321/TB-UBND</w:t>
      </w:r>
      <w:r>
        <w:t xml:space="preserve"> ngày 24/7/2025 của UBND tỉnh. Tiếp tục triển khai đồng bộ, hiệu quả các giải pháp nhằm tăng cường công tác phòng, chống dị</w:t>
      </w:r>
      <w:r>
        <w:t xml:space="preserve">ch bệnh đạt hiệu quả, khống chế không để dịch bùng phát, lây lan; đảm bảo công tác phòng, chống HIV/AIDS, an toàn thực phẩm; tăng cường đẩy mạnh đầu tư, mua sắm thuốc, vật tư y tế… Xã hội hóa, đa dạng hóa các loại hình chăm sóc sức khỏe Nhân dân; trong đó,</w:t>
      </w:r>
      <w:r>
        <w:t xml:space="preserve"> tập trung công tác mua sắm máy chạy thận nhân tạo; đấu thầu thuốc tập trung. Tham mưu giải quyết dứt điểm các vướng mắc có liên quan đến Đề án cho thuê quyền khai thác tài sản kết cấu hạ tầng y tế đối với Công trình Bệnh viện chuyên khoa Sản Nhi Tây Ninh.</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rFonts w:eastAsia="Calibri"/>
          <w:lang w:val="it-IT"/>
        </w:rPr>
        <w:t xml:space="preserve">- </w:t>
      </w:r>
      <w:r>
        <w:rPr>
          <w:i/>
          <w:iCs/>
          <w:lang w:val="it-IT"/>
        </w:rPr>
        <w:t xml:space="preserve">Sở Giáo dục và Đào tạo chủ trì:</w:t>
      </w:r>
      <w:r>
        <w:rPr>
          <w:lang w:val="it-IT"/>
        </w:rPr>
        <w:t xml:space="preserve"> </w:t>
      </w:r>
      <w:r>
        <w:t xml:space="preserve">Kiểm tra công tác chuẩn bị khai giảng năm học 2025-2026 đối với các đơn vị, trường học. Trình Ủy ban nhân dân tỉnh ban hành Khung kế hoạch thời gian năm học 2025-2026 đối với giáo dục mầm non, giáo dục phổ thông công và giáo dục thường xuyên.</w:t>
      </w:r>
      <w:r>
        <w:rPr>
          <w:rFonts w:eastAsia="Calibri"/>
        </w:rPr>
        <w:t xml:space="preserve"> Tổ chức Hội nghị Tổng kết năm học 2024-2025, triển khai nhiệm vụ năm học 2025-2026 ngành Giáo dục và Đào tạo Tây Ninh.</w:t>
      </w:r>
      <w:r>
        <w:t xml:space="preserve"> Tổ chức Lễ kỷ niệm 80 n</w:t>
      </w:r>
      <w:r>
        <w:t xml:space="preserve">ăm thành lập Bộ Quốc gia giáo dục và Khai giảng năm học 2025-2026. Tiếp tục nghiên cứu tham mưu thực hiện Đề án "Nâng cao kỹ năng nghề nghiệp, giải quyết việc làm cho người lao động gắn với Đề án phát triển nhà ở xã hội giai đoạn 2023 - 2025, định </w:t>
      </w:r>
      <w:r>
        <w:t xml:space="preserve">hướng đến năm 2030” phù hợp với tình hình sau công tác sáp nhập tỉnh. Triển khai đầy đủ, kịp thời chính sách miễn, giảm học phí cho trẻ em mầm non và học sinh từ cấp tiểu học đến trung học phổ thông theo quy định của Trung ương và Nghị quyết của HĐND tỉnh.</w:t>
      </w:r>
      <w:r>
        <w:rPr>
          <w:rFonts w:eastAsia="Calibri"/>
          <w:spacing w:val="-4"/>
          <w:lang w:val="es-BO"/>
        </w:rPr>
        <w:t xml:space="preserve"> Tập trung rà soát nhu cầu cơ sở vật chất, thiết bị để lập dự án đầu tư công cho giáo dục giai đoạn 2026 - 2030 nhằm đảm bảo mục tiêu đạt phổ cập giáo dục mầm non 3 - 5 tuổi, chỉ tiêu về xây dựng trường đạt chuẩn quốc gia. Tập trung xây dựng </w:t>
      </w:r>
      <w:r>
        <w:rPr>
          <w:rFonts w:eastAsia="Calibri"/>
          <w:spacing w:val="-4"/>
          <w:lang w:val="es-BO"/>
        </w:rPr>
        <w:t xml:space="preserve">Đề án xây dựng cơ sở dữ liệu tập trung đầy đủ, thông suốt cho ngành giáo dục phục vụ chuyển đổi số và điều hành theo mô hình chính quyền địa phương 2 cấp. </w:t>
      </w: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rPr>
          <w:lang w:val="zu-ZA"/>
        </w:rPr>
        <w:t xml:space="preserve">- </w:t>
      </w:r>
      <w:r>
        <w:rPr>
          <w:i/>
          <w:lang w:val="zu-ZA"/>
        </w:rPr>
        <w:t xml:space="preserve">Sở Văn hóa, Thông tin, Thể dục Thể thao và Du lịch </w:t>
      </w:r>
      <w:r>
        <w:rPr>
          <w:rFonts w:eastAsia="Calibri"/>
          <w:i/>
          <w:lang w:val="zu-ZA"/>
        </w:rPr>
        <w:t xml:space="preserve">chủ trì:</w:t>
      </w:r>
      <w:r>
        <w:rPr>
          <w:rFonts w:eastAsia="SimSun"/>
          <w:bCs/>
          <w:lang w:val="pt-BR"/>
        </w:rPr>
        <w:t xml:space="preserve"> </w:t>
      </w:r>
      <w:r>
        <w:t xml:space="preserve">Tập trung triển khai thực hiện các hình thức tuyên truyền và tổ chức các hoạt động văn hoá, văn nghệ, thể dục thể thao chào mừng kỷ niệm 80 năm Ngày Quốc khánh </w:t>
      </w:r>
      <w:r>
        <w:rPr>
          <w:i/>
        </w:rPr>
        <w:t xml:space="preserve">(2/9/1945-2/9/2025).</w:t>
      </w:r>
      <w:r>
        <w:t xml:space="preserve"> Tổ chức triển lãm thành tựu kinh tế - xã hội tại Hà Nội. Tổ chức Hội nghị tập huấn, hướng dẫn hoạt động, công tác quản lý nhà nước về văn hóa, gia đình, thông tin, thể thao và du lịch trên địa bàn tỉnh Tây Ninh năm 2025. </w:t>
      </w:r>
      <w:r>
        <w:rPr>
          <w:lang w:val="nl-NL"/>
        </w:rPr>
        <w:t xml:space="preserve">Tổ chức Lễ kỷ niệm Ngày thành lập Khu căn cứ cách mạng Bình Thành tại Khu di tích lịch sử cách mạng tỉnh </w:t>
      </w:r>
      <w:r>
        <w:rPr>
          <w:i/>
          <w:lang w:val="nl-NL"/>
        </w:rPr>
        <w:t xml:space="preserve">(ngày 29/9/2025)</w:t>
      </w:r>
      <w:r>
        <w:rPr>
          <w:lang w:val="nl-NL"/>
        </w:rPr>
        <w:t xml:space="preserve">. Ban hành </w:t>
      </w:r>
      <w:r>
        <w:rPr>
          <w:spacing w:val="3"/>
          <w:shd w:val="clear" w:color="auto" w:fill="ffffff"/>
        </w:rPr>
        <w:t xml:space="preserve">Kế hoạch tổ chức Đại hội Thể dục thể thao tỉnh Tây Ninh lần thứ X năm 2026; thành lập Ban Chỉ đạo Đại hội Thể dục thể thao các cấp tỉnh Tây Ninh lần thứ X năm 2025-2026; </w:t>
      </w:r>
      <w:r>
        <w:t xml:space="preserve">Tổ chức</w:t>
      </w:r>
      <w:r>
        <w:rPr>
          <w:b/>
        </w:rPr>
        <w:t xml:space="preserve"> </w:t>
      </w:r>
      <w:r>
        <w:rPr>
          <w:bCs/>
        </w:rPr>
        <w:t xml:space="preserve">04</w:t>
      </w:r>
      <w:r>
        <w:rPr>
          <w:b/>
        </w:rPr>
        <w:t xml:space="preserve"> </w:t>
      </w:r>
      <w:r>
        <w:t xml:space="preserve">Giải thi cấp quốc gia. Tiếp tục điều chỉnh và bổ sung Bộ nhận diện t</w:t>
      </w:r>
      <w:r>
        <w:t xml:space="preserve">hương hiệu hình ảnh tỉnh Tây Ninh (mới). Tham gia các sự kiện hội chợ du lịch quốc tế TP.HCM (ITE-HCMC) năm 2025; hội chợ Kết Nối Du Lịch Xanh &amp; Bền Vững Tỉnh Đồng Nai; Hội chợ triển lãm thành tựu kinh tế - xã hội, thương mại, ẩm thực, sản phẩm OCOP tỉnh </w:t>
      </w:r>
      <w:r>
        <w:t xml:space="preserve">Tây Ninh. Tiếp tục phối hợp quảng bá du lịch Tây Ninh trên các nền tảng công nghệ số. Tiếp tục thực hiện tốt công tác thông tin, xuất bản báo chí đảm bảo tính thời sự phục vụ nhiệm vụ chính trị của tỉnh và các địa phương, tạo đồng thuận và niềm tin xã hội.</w:t>
      </w:r>
      <w:r/>
    </w:p>
    <w:p>
      <w:pPr>
        <w:pBdr>
          <w:top w:val="none" w:color="000000" w:sz="0" w:space="0"/>
          <w:left w:val="none" w:color="000000" w:sz="0" w:space="0"/>
          <w:bottom w:val="none" w:color="000000" w:sz="0" w:space="0"/>
          <w:right w:val="none" w:color="000000" w:sz="0" w:space="0"/>
          <w:between w:val="none" w:color="000000" w:sz="0" w:space="0"/>
        </w:pBdr>
        <w:tabs>
          <w:tab w:val="left" w:leader="none" w:pos="567"/>
        </w:tabs>
        <w:spacing w:after="120" w:before="120" w:line="259" w:lineRule="auto"/>
        <w:ind w:firstLine="567"/>
        <w:jc w:val="both"/>
        <w:rPr/>
      </w:pPr>
      <w:r>
        <w:rPr>
          <w:bCs/>
          <w:i/>
        </w:rPr>
        <w:t xml:space="preserve">- Sở Nội vụ:</w:t>
      </w:r>
      <w:r>
        <w:t xml:space="preserve"> Phối hợp t</w:t>
      </w:r>
      <w:r>
        <w:t xml:space="preserve">ham mưu UBND tỉnh Kế hoạch tổ chức các hoạt động kỷ niệm 80 năm Quốc khánh nước Cộng hòa Xã hội chủ nghĩa Việt Nam (02/9/1945 - 02/9/2025): tổ chức viếng nghĩa trang liệt sĩ tỉnh, Nghĩa trang liệt sĩ Trà Võ. Tổ chức trao quà cho Người có công với cách mạng</w:t>
      </w:r>
      <w:r>
        <w:rPr>
          <w:rStyle w:val="2063"/>
        </w:rPr>
        <w:footnoteReference w:id="41"/>
      </w:r>
      <w:r>
        <w:t xml:space="preserve">. Tiếp tục tiếp nhận và thẩm định hồ sơ đề nghị tặng và truy tặng danh hiệu vinh dự Nhà nước Bà mẹ Việt Nam anh hùng theo Nghị định số 56/NĐ-CP của Chính phủ; cập nhật tăng, giảm đối tượng; cấp lại bằng Tổ quốc ghi công......</w:t>
      </w:r>
      <w:r>
        <w:rPr>
          <w:lang w:val="es-ES"/>
        </w:rPr>
        <w:t xml:space="preserve">.; Đôn đốc các xã, phường hoàn thiện hồ sơ đối với người tham gia hoạt động kháng chiến bị địch bắt tù đày và thực hiện giải quyết chế độ thờ cúng liệt sĩ.</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lang w:val="es-BO"/>
        </w:rPr>
        <w:t xml:space="preserve">- </w:t>
      </w:r>
      <w:r>
        <w:rPr>
          <w:i/>
          <w:iCs/>
          <w:lang w:val="es-BO"/>
        </w:rPr>
        <w:t xml:space="preserve">Ngân hàng Chính sách xã hội chi nhánh tỉnh Tây Ninh chủ trì:</w:t>
      </w:r>
      <w:r>
        <w:rPr>
          <w:lang w:val="es-BO"/>
        </w:rPr>
        <w:t xml:space="preserve"> </w:t>
      </w:r>
      <w:r>
        <w:rPr>
          <w:lang w:val="sv-SE"/>
        </w:rPr>
        <w:t xml:space="preserve">Đẩy mạnh giải ngân các chương trình tín dụng chính sách theo chỉ tiêu kế hoạch được giao, kịp thời hỗ trợ, đáp ứng nhu cầu vay vốn của người nghèo và các đối tượng chính sách khác.</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
        </w:rPr>
      </w:pPr>
      <w:r>
        <w:rPr>
          <w:rFonts w:eastAsia="Calibri"/>
          <w:b/>
          <w:iCs/>
          <w:lang w:val="es-BO"/>
        </w:rPr>
        <w:t xml:space="preserve">9. Về cải cách hành chính, bộ máy</w:t>
      </w:r>
      <w:r>
        <w:rPr>
          <w:b/>
        </w:rPr>
      </w:r>
      <w:r>
        <w:rPr>
          <w:b/>
        </w:rP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pPr>
      <w:r>
        <w:rPr>
          <w:rFonts w:eastAsia="Calibri"/>
          <w:i/>
          <w:iCs/>
          <w:lang w:val="es-BO"/>
        </w:rPr>
        <w:t xml:space="preserve">Sở Nội vụ chủ trì:</w:t>
      </w:r>
      <w:r>
        <w:rPr>
          <w:shd w:val="clear" w:color="auto" w:fill="ffffff"/>
          <w:lang w:val="vi-VN"/>
        </w:rPr>
        <w:t xml:space="preserve"> </w:t>
      </w:r>
      <w:r>
        <w:t xml:space="preserve">Trình UBND tỉnh ban hành Quyết định phê duyệt Đề án “Xác định Chỉ số cải cách hành chính của các Sở, ngành tỉnh, UBND cấp xã” năm 2025 trên địa bàn tỉnh Tây Ninh (sau khi Bộ Nội vụ ban hành); phân công nhiệm </w:t>
      </w:r>
      <w:r>
        <w:t xml:space="preserve">vụ thành viên Đoàn Kiểm tra công tác cải cách hành chín</w:t>
      </w:r>
      <w:r>
        <w:t xml:space="preserve">h tỉnh năm 2025. Thông báo lịch kiểm tra công tác cải cách hành chính năm 2025 tại các cơ quan, đơn vị. Tổng hợp danh sách của UBND cấp xã về đối tượng điều tra xã hội học đo lường sự hài lòng của người dân đối với sự phục vụ của cơ quan nhà nước năm 2025.</w:t>
      </w:r>
      <w:r/>
    </w:p>
    <w:p>
      <w:pPr>
        <w:pBdr>
          <w:top w:val="none" w:color="000000" w:sz="4" w:space="0"/>
          <w:left w:val="none" w:color="000000" w:sz="4" w:space="0"/>
          <w:bottom w:val="none" w:color="000000" w:sz="4" w:space="0"/>
          <w:right w:val="none" w:color="000000" w:sz="4" w:space="0"/>
          <w:between w:val="none" w:color="000000" w:sz="4" w:space="0"/>
        </w:pBdr>
        <w:tabs>
          <w:tab w:val="left" w:leader="none" w:pos="567"/>
        </w:tabs>
        <w:spacing w:after="120" w:before="120" w:line="259" w:lineRule="auto"/>
        <w:ind w:firstLine="567"/>
        <w:jc w:val="both"/>
        <w:rPr>
          <w:b/>
        </w:rPr>
      </w:pPr>
      <w:r>
        <w:rPr>
          <w:b/>
          <w:bCs/>
          <w:iCs/>
          <w:lang w:val="sv-SE"/>
        </w:rPr>
        <w:t xml:space="preserve">10. Về an ninh quốc phòng và các nhiệm vụ khác</w:t>
      </w:r>
      <w:r>
        <w:rPr>
          <w:b/>
        </w:rPr>
      </w:r>
      <w:r>
        <w:rPr>
          <w:b/>
        </w:rP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rPr>
          <w:spacing w:val="-4"/>
        </w:rPr>
        <w:t xml:space="preserve">- </w:t>
      </w:r>
      <w:r>
        <w:rPr>
          <w:i/>
          <w:spacing w:val="-4"/>
        </w:rPr>
        <w:t xml:space="preserve">Thủ trưởng Sở ngành tỉnh và UBND cấp xã:</w:t>
      </w:r>
      <w:r>
        <w:rPr>
          <w:spacing w:val="-4"/>
        </w:rPr>
        <w:t xml:space="preserve"> Thực hiện tốt các nhiệm vụ về an ninh, quốc phòng, nội chính, đối ngoại, giữ vững ổn định chính trị, trật tự an toàn xã hội, nhất là bảo vệ</w:t>
      </w:r>
      <w:r>
        <w:rPr>
          <w:spacing w:val="-4"/>
        </w:rPr>
        <w:t xml:space="preserve"> chủ quyền tuyến biên giới. Kiểm tra, quản lý tốt công tác phòng cháy chữa cháy. Thực hiện các giải pháp quyết liệt đảm bảo trật tự an toàn giao thông, hạn chế tai nạn giao thông. Tập trung giải quyết khiếu nại, tố cáo của công dân. Thực hiện phòng chống t</w:t>
      </w:r>
      <w:r>
        <w:rPr>
          <w:spacing w:val="-4"/>
        </w:rPr>
        <w:t xml:space="preserve">ham nhũng, tiết kiệm theo quy định, quán triệt cán bộ, công chức, viên chức thực hiện nghiêm kỷ cương, kỷ luật hành chính, kỷ luật lao động. Tập trung giải quyết khiếu nại, tố cáo của công dân; thực hiện công tác thanh tra, kiểm tra theo kế hoạch đã đề ra.</w:t>
      </w:r>
      <w:r/>
    </w:p>
    <w:p>
      <w:pPr>
        <w:pBdr>
          <w:top w:val="none" w:color="000000" w:sz="4" w:space="0"/>
          <w:left w:val="none" w:color="000000" w:sz="4" w:space="0"/>
          <w:bottom w:val="none" w:color="000000" w:sz="4" w:space="0"/>
          <w:right w:val="none" w:color="000000" w:sz="4" w:space="0"/>
        </w:pBdr>
        <w:tabs>
          <w:tab w:val="left" w:leader="none" w:pos="567"/>
        </w:tabs>
        <w:spacing w:after="120" w:before="120" w:line="259" w:lineRule="auto"/>
        <w:ind w:firstLine="567"/>
        <w:jc w:val="both"/>
        <w:rPr/>
      </w:pPr>
      <w:r>
        <w:rPr>
          <w:i/>
        </w:rPr>
        <w:t xml:space="preserve">- Công an tỉnh chủ trì:</w:t>
      </w:r>
      <w:r>
        <w:t xml:space="preserve"> Triển khai các nhiệm vụ, giải pháp đảm bảo a</w:t>
      </w:r>
      <w:r>
        <w:t xml:space="preserve">n ninh, trật tự trên địa bàn tỉnh; bảo vệ tuyệt đối an toàn các mục tiêu, công trình trọng điểm; các sự kiện chính trị, xã hội quan trọng diễn ra trên địa bàn tỉnh. Nâng cao hiệu quả, chủ động trong công tác phòng ngừa, đấu tranh trấn áp các loại tội phạm,</w:t>
      </w:r>
      <w:r>
        <w:t xml:space="preserve"> tệ nạn xã hội. Tập trung lực lượng thực hiện cao điểm tấn công, trấn áp tội phạm, bảo đảm ANTT các ngày lễ lớn và Đại hội Đảng các cấp. Tăng cường hiệu lực, hiệu quả công tác quản lý nhà nước về an ninh, trật tự; triển khai đồng bộ các giải pháp nhằm bảo </w:t>
      </w:r>
      <w:r>
        <w:t xml:space="preserve">đảm trật tự, an toàn giao thông. Tiếp tục tăng cường tuyên truyền Luật Căn cước, Luật Lực lượng tham gia bảo đảm ANTT ở cơ sở, các dự án Luật PCCC (sửa đổi, bổ sung), Luật sửa đổi, bổ sung Luật quản lý vũ khí và công cụ hỗ trợ, Luật giao thông đường bộ và </w:t>
      </w:r>
      <w:r>
        <w:t xml:space="preserve">Luật trật tự an toàn giao thông đường bộ, đặc biệt là Nghị định số 168/2024/NĐ-CP ngày 26/12/2024 của Chính phủ quy định xử phạt vi phạm hành chính về trật tự, an toàn giao thông trong lĩnh vực giao thông đường bộ, trừ điểm, phục hồi điểm giấy phép lái xe.</w:t>
      </w:r>
      <w:r/>
    </w:p>
    <w:p>
      <w:pPr>
        <w:pBdr/>
        <w:shd w:val="clear" w:color="auto" w:fill="ffffff"/>
        <w:tabs>
          <w:tab w:val="left" w:leader="none" w:pos="567"/>
        </w:tabs>
        <w:spacing w:after="120" w:before="120" w:line="259" w:lineRule="auto"/>
        <w:ind w:firstLine="567"/>
        <w:jc w:val="both"/>
        <w:rPr/>
      </w:pPr>
      <w:r>
        <w:t xml:space="preserve">- </w:t>
      </w:r>
      <w:r>
        <w:rPr>
          <w:i/>
        </w:rPr>
        <w:t xml:space="preserve">Bộ Chỉ huy Quân sự tỉnh chủ trì: </w:t>
      </w:r>
      <w:r>
        <w:t xml:space="preserve">Tiếp tục tích cực xây dựng các tiềm lực trong khu vực phòng thủ; tiếp tục xây dựng các công trình nhân cốt trong khu vực phòng thủ, công trình chiế</w:t>
      </w:r>
      <w:r>
        <w:t xml:space="preserve">n đấu các chốt dân quân biên giới; kết hợp xây dựng điểm dân cư liền kế chốt dân quân biên giới và điểm dân cư liền kề đồn, trạm biên phòng; đẩy mạnh xây dựng các công trình trọng điểm về quốc phòng, các công trình mang tính lưỡng dụng, bảo đảm gắn với phá</w:t>
      </w:r>
      <w:r>
        <w:t xml:space="preserve">t triển kinh tế với củng cố quốc phòng. Phối hợp chặt chẽ Công an tỉnh, Quản lý thị trường tỉnh tổ chức, tuần tra, kiểm soát các đường mòn, lối mở, khu vực bến cảng, đường giao thông kết nối các khu vực biên giới để kịp thời phát hiện, ngăn chặn từ sớm, từ</w:t>
      </w:r>
      <w:r>
        <w:t xml:space="preserve"> xa hoạt động mua bán, vận chuyển trái phép vũ khí, vật liệu nổ công cụ hỗ trợ và pháo; Đẩy mạnh xây dựng đơn vị vững mạnh toàn diện; nâng cao năng lực, trình độ sẵn sàng chiến đấu, chất lượng huấn luyện, xây dựng nề nếp chính quy, chấp hành kỷ luật; tăng </w:t>
      </w:r>
      <w:r>
        <w:t xml:space="preserve">cường đối ngoại quốc phòng, giữ vững biên giới hòa bình hữu nghị, hợp tác, ổn định./.</w:t>
      </w:r>
      <w:r/>
    </w:p>
    <w:tbl>
      <w:tblPr>
        <w:tblStyle w:val="2072"/>
        <w:tblW w:w="0" w:type="auto"/>
        <w:tblBorders/>
        <w:tblLook w:val="04A0" w:firstRow="1" w:lastRow="0" w:firstColumn="1" w:lastColumn="0" w:noHBand="0" w:noVBand="1"/>
      </w:tblPr>
      <w:tblGrid>
        <w:gridCol w:w="4536"/>
        <w:gridCol w:w="4536"/>
      </w:tblGrid>
      <w:tr>
        <w:trPr/>
        <w:tc>
          <w:tcPr>
            <w:tcBorders/>
            <w:tcW w:w="4536" w:type="dxa"/>
            <w:textDirection w:val="lrTb"/>
            <w:noWrap w:val="false"/>
          </w:tcPr>
          <w:p>
            <w:pPr>
              <w:widowControl w:val="false"/>
              <w:pBdr>
                <w:top w:val="none" w:color="000000" w:sz="0" w:space="0"/>
                <w:left w:val="none" w:color="000000" w:sz="0" w:space="0"/>
                <w:bottom w:val="none" w:color="000000" w:sz="0" w:space="0"/>
                <w:right w:val="none" w:color="000000" w:sz="0" w:space="0"/>
                <w:between w:val="none" w:color="000000" w:sz="0" w:space="0"/>
              </w:pBdr>
              <w:tabs>
                <w:tab w:val="left" w:leader="none" w:pos="567"/>
              </w:tabs>
              <w:spacing/>
              <w:ind/>
              <w:jc w:val="both"/>
              <w:rPr>
                <w:b/>
                <w:bCs/>
                <w:i/>
                <w:iCs/>
                <w:sz w:val="24"/>
                <w:szCs w:val="24"/>
                <w:lang w:val="vi-VN"/>
              </w:rPr>
            </w:pPr>
            <w:r>
              <w:rPr>
                <w:b/>
                <w:bCs/>
                <w:i/>
                <w:iCs/>
                <w:sz w:val="24"/>
                <w:szCs w:val="24"/>
                <w:lang w:val="vi-VN"/>
              </w:rPr>
              <w:t xml:space="preserve">Nơi nhận:</w:t>
            </w:r>
            <w:r>
              <w:rPr>
                <w:b/>
                <w:bCs/>
                <w:i/>
                <w:iCs/>
                <w:sz w:val="24"/>
                <w:szCs w:val="24"/>
                <w:lang w:val="vi-VN"/>
              </w:rPr>
            </w:r>
            <w:r>
              <w:rPr>
                <w:b/>
                <w:bCs/>
                <w:i/>
                <w:iCs/>
                <w:sz w:val="24"/>
                <w:szCs w:val="24"/>
                <w:lang w:val="vi-VN"/>
              </w:rPr>
            </w:r>
          </w:p>
          <w:p>
            <w:pPr>
              <w:pStyle w:val="2075"/>
              <w:widowControl w:val="false"/>
              <w:pBdr/>
              <w:tabs>
                <w:tab w:val="left" w:leader="none" w:pos="567"/>
              </w:tabs>
              <w:spacing w:after="0" w:afterAutospacing="0" w:before="0" w:beforeAutospacing="0"/>
              <w:ind/>
              <w:jc w:val="both"/>
              <w:rPr>
                <w:sz w:val="22"/>
                <w:szCs w:val="22"/>
                <w:lang w:val="vi-VN"/>
              </w:rPr>
            </w:pPr>
            <w:r>
              <w:rPr>
                <w:sz w:val="22"/>
                <w:szCs w:val="22"/>
                <w:lang w:val="vi-VN"/>
              </w:rPr>
              <w:t xml:space="preserve">- Văn phòng Chính phủ (HN, TP.HCM);</w:t>
            </w:r>
            <w:r>
              <w:rPr>
                <w:sz w:val="22"/>
                <w:szCs w:val="22"/>
                <w:lang w:val="vi-VN"/>
              </w:rPr>
            </w:r>
            <w:r>
              <w:rPr>
                <w:sz w:val="22"/>
                <w:szCs w:val="22"/>
                <w:lang w:val="vi-VN"/>
              </w:rPr>
            </w:r>
          </w:p>
          <w:p>
            <w:pPr>
              <w:pStyle w:val="2075"/>
              <w:widowControl w:val="false"/>
              <w:pBdr/>
              <w:tabs>
                <w:tab w:val="left" w:leader="none" w:pos="567"/>
                <w:tab w:val="left" w:leader="none" w:pos="6323"/>
              </w:tabs>
              <w:spacing w:after="0" w:afterAutospacing="0" w:before="0" w:beforeAutospacing="0"/>
              <w:ind/>
              <w:rPr>
                <w:sz w:val="22"/>
                <w:szCs w:val="22"/>
              </w:rPr>
            </w:pPr>
            <w:r>
              <w:rPr>
                <w:sz w:val="22"/>
                <w:szCs w:val="22"/>
                <w:lang w:val="vi-VN"/>
              </w:rPr>
              <w:t xml:space="preserve">- TT</w:t>
            </w:r>
            <w:r>
              <w:rPr>
                <w:sz w:val="22"/>
                <w:szCs w:val="22"/>
                <w:lang w:val="fr-FR"/>
              </w:rPr>
              <w:t xml:space="preserve"> </w:t>
            </w:r>
            <w:r>
              <w:rPr>
                <w:sz w:val="22"/>
                <w:szCs w:val="22"/>
                <w:lang w:val="vi-VN"/>
              </w:rPr>
              <w:t xml:space="preserve">TU, TT</w:t>
            </w:r>
            <w:r>
              <w:rPr>
                <w:sz w:val="22"/>
                <w:szCs w:val="22"/>
                <w:lang w:val="fr-FR"/>
              </w:rPr>
              <w:t xml:space="preserve"> </w:t>
            </w:r>
            <w:r>
              <w:rPr>
                <w:sz w:val="22"/>
                <w:szCs w:val="22"/>
                <w:lang w:val="vi-VN"/>
              </w:rPr>
              <w:t xml:space="preserve">HĐND tỉnh;</w:t>
            </w:r>
            <w:r>
              <w:rPr>
                <w:sz w:val="22"/>
                <w:szCs w:val="22"/>
              </w:rPr>
            </w:r>
            <w:r>
              <w:rPr>
                <w:sz w:val="22"/>
                <w:szCs w:val="22"/>
              </w:rPr>
            </w:r>
          </w:p>
          <w:p>
            <w:pPr>
              <w:pStyle w:val="2075"/>
              <w:widowControl w:val="false"/>
              <w:pBdr/>
              <w:tabs>
                <w:tab w:val="left" w:leader="none" w:pos="567"/>
                <w:tab w:val="left" w:leader="none" w:pos="6323"/>
              </w:tabs>
              <w:spacing w:after="0" w:afterAutospacing="0" w:before="0" w:beforeAutospacing="0"/>
              <w:ind/>
              <w:rPr>
                <w:sz w:val="22"/>
                <w:szCs w:val="22"/>
              </w:rPr>
            </w:pPr>
            <w:r>
              <w:rPr>
                <w:sz w:val="22"/>
                <w:szCs w:val="22"/>
                <w:lang w:val="vi-VN"/>
              </w:rPr>
              <w:t xml:space="preserve">- CT, các PCT UBND tỉnh;</w:t>
            </w:r>
            <w:r>
              <w:rPr>
                <w:sz w:val="22"/>
                <w:szCs w:val="22"/>
              </w:rPr>
            </w:r>
            <w:r>
              <w:rPr>
                <w:sz w:val="22"/>
                <w:szCs w:val="22"/>
              </w:rPr>
            </w:r>
          </w:p>
          <w:p>
            <w:pPr>
              <w:pStyle w:val="2075"/>
              <w:widowControl w:val="false"/>
              <w:pBdr/>
              <w:tabs>
                <w:tab w:val="left" w:leader="none" w:pos="567"/>
                <w:tab w:val="left" w:leader="none" w:pos="6323"/>
              </w:tabs>
              <w:spacing w:after="0" w:afterAutospacing="0" w:before="0" w:beforeAutospacing="0"/>
              <w:ind/>
              <w:rPr>
                <w:sz w:val="22"/>
                <w:szCs w:val="22"/>
              </w:rPr>
            </w:pPr>
            <w:r>
              <w:rPr>
                <w:sz w:val="22"/>
                <w:szCs w:val="22"/>
                <w:lang w:val="vi-VN"/>
              </w:rPr>
              <w:t xml:space="preserve">- TT</w:t>
            </w:r>
            <w:r>
              <w:rPr>
                <w:sz w:val="22"/>
                <w:szCs w:val="22"/>
              </w:rPr>
              <w:t xml:space="preserve"> </w:t>
            </w:r>
            <w:r>
              <w:rPr>
                <w:sz w:val="22"/>
                <w:szCs w:val="22"/>
                <w:lang w:val="vi-VN"/>
              </w:rPr>
              <w:t xml:space="preserve">UBMTTQ tỉnh;</w:t>
            </w:r>
            <w:r>
              <w:rPr>
                <w:sz w:val="22"/>
                <w:szCs w:val="22"/>
              </w:rPr>
            </w:r>
            <w:r>
              <w:rPr>
                <w:sz w:val="22"/>
                <w:szCs w:val="22"/>
              </w:rPr>
            </w:r>
          </w:p>
          <w:p>
            <w:pPr>
              <w:pStyle w:val="2075"/>
              <w:widowControl w:val="false"/>
              <w:pBdr/>
              <w:tabs>
                <w:tab w:val="left" w:leader="none" w:pos="567"/>
                <w:tab w:val="left" w:leader="none" w:pos="6323"/>
              </w:tabs>
              <w:spacing w:after="0" w:afterAutospacing="0" w:before="0" w:beforeAutospacing="0"/>
              <w:ind/>
              <w:rPr>
                <w:sz w:val="22"/>
                <w:szCs w:val="22"/>
              </w:rPr>
            </w:pPr>
            <w:r>
              <w:rPr>
                <w:sz w:val="22"/>
                <w:szCs w:val="22"/>
                <w:lang w:val="vi-VN"/>
              </w:rPr>
              <w:t xml:space="preserve">- Đoàn ĐBQH tỉnh </w:t>
            </w:r>
            <w:r>
              <w:rPr>
                <w:sz w:val="22"/>
                <w:szCs w:val="22"/>
                <w:lang w:val="vi-VN"/>
              </w:rPr>
              <w:t xml:space="preserve">Tây Ninh</w:t>
            </w:r>
            <w:r>
              <w:rPr>
                <w:sz w:val="22"/>
                <w:szCs w:val="22"/>
                <w:lang w:val="vi-VN"/>
              </w:rPr>
              <w:t xml:space="preserve">;</w:t>
            </w:r>
            <w:r>
              <w:rPr>
                <w:sz w:val="22"/>
                <w:szCs w:val="22"/>
              </w:rPr>
            </w:r>
            <w:r>
              <w:rPr>
                <w:sz w:val="22"/>
                <w:szCs w:val="22"/>
              </w:rPr>
            </w:r>
          </w:p>
          <w:p>
            <w:pPr>
              <w:pStyle w:val="2075"/>
              <w:widowControl w:val="false"/>
              <w:pBdr/>
              <w:tabs>
                <w:tab w:val="left" w:leader="none" w:pos="567"/>
                <w:tab w:val="left" w:leader="none" w:pos="6323"/>
              </w:tabs>
              <w:spacing w:after="0" w:afterAutospacing="0" w:before="0" w:beforeAutospacing="0"/>
              <w:ind/>
              <w:rPr>
                <w:sz w:val="22"/>
                <w:szCs w:val="22"/>
              </w:rPr>
            </w:pPr>
            <w:r>
              <w:rPr>
                <w:sz w:val="22"/>
                <w:szCs w:val="22"/>
                <w:lang w:val="vi-VN"/>
              </w:rPr>
              <w:t xml:space="preserve">- Đại biểu HĐND tỉnh khóa X;</w:t>
            </w:r>
            <w:r>
              <w:rPr>
                <w:sz w:val="22"/>
                <w:szCs w:val="22"/>
              </w:rPr>
            </w:r>
            <w:r>
              <w:rPr>
                <w:sz w:val="22"/>
                <w:szCs w:val="22"/>
              </w:rPr>
            </w:r>
          </w:p>
          <w:p>
            <w:pPr>
              <w:pStyle w:val="2075"/>
              <w:widowControl w:val="false"/>
              <w:pBdr/>
              <w:tabs>
                <w:tab w:val="left" w:leader="none" w:pos="567"/>
                <w:tab w:val="left" w:leader="none" w:pos="6323"/>
              </w:tabs>
              <w:spacing w:after="0" w:afterAutospacing="0" w:before="0" w:beforeAutospacing="0"/>
              <w:ind/>
              <w:rPr>
                <w:sz w:val="22"/>
                <w:szCs w:val="22"/>
              </w:rPr>
            </w:pPr>
            <w:r>
              <w:rPr>
                <w:sz w:val="22"/>
                <w:szCs w:val="22"/>
                <w:lang w:val="vi-VN"/>
              </w:rPr>
              <w:t xml:space="preserve">- Các sở, </w:t>
            </w:r>
            <w:r>
              <w:rPr>
                <w:sz w:val="22"/>
                <w:szCs w:val="22"/>
              </w:rPr>
              <w:t xml:space="preserve">ban, </w:t>
            </w:r>
            <w:r>
              <w:rPr>
                <w:sz w:val="22"/>
                <w:szCs w:val="22"/>
                <w:lang w:val="vi-VN"/>
              </w:rPr>
              <w:t xml:space="preserve">ngành tỉnh;</w:t>
            </w:r>
            <w:r>
              <w:rPr>
                <w:sz w:val="22"/>
                <w:szCs w:val="22"/>
              </w:rPr>
            </w:r>
            <w:r>
              <w:rPr>
                <w:sz w:val="22"/>
                <w:szCs w:val="22"/>
              </w:rPr>
            </w:r>
          </w:p>
          <w:p>
            <w:pPr>
              <w:pStyle w:val="2075"/>
              <w:widowControl w:val="false"/>
              <w:pBdr/>
              <w:tabs>
                <w:tab w:val="left" w:leader="none" w:pos="567"/>
                <w:tab w:val="left" w:leader="none" w:pos="6323"/>
              </w:tabs>
              <w:spacing w:after="0" w:afterAutospacing="0" w:before="0" w:beforeAutospacing="0"/>
              <w:ind/>
              <w:rPr>
                <w:sz w:val="22"/>
                <w:szCs w:val="22"/>
              </w:rPr>
            </w:pPr>
            <w:r>
              <w:rPr>
                <w:sz w:val="22"/>
                <w:szCs w:val="22"/>
                <w:lang w:val="vi-VN"/>
              </w:rPr>
              <w:t xml:space="preserve">- Các cơ quan ngành dọc đóng trên địa bàn tỉnh;</w:t>
            </w:r>
            <w:r>
              <w:rPr>
                <w:sz w:val="22"/>
                <w:szCs w:val="22"/>
              </w:rPr>
            </w:r>
            <w:r>
              <w:rPr>
                <w:sz w:val="22"/>
                <w:szCs w:val="22"/>
              </w:rPr>
            </w:r>
          </w:p>
          <w:p>
            <w:pPr>
              <w:pStyle w:val="2075"/>
              <w:widowControl w:val="false"/>
              <w:pBdr/>
              <w:tabs>
                <w:tab w:val="left" w:leader="none" w:pos="567"/>
                <w:tab w:val="left" w:leader="none" w:pos="6323"/>
              </w:tabs>
              <w:spacing w:after="0" w:afterAutospacing="0" w:before="0" w:beforeAutospacing="0"/>
              <w:ind/>
              <w:rPr>
                <w:sz w:val="22"/>
                <w:szCs w:val="22"/>
              </w:rPr>
            </w:pPr>
            <w:r>
              <w:rPr>
                <w:sz w:val="22"/>
                <w:szCs w:val="22"/>
                <w:lang w:val="vi-VN"/>
              </w:rPr>
              <w:t xml:space="preserve">- UBND các </w:t>
            </w:r>
            <w:r>
              <w:rPr>
                <w:sz w:val="22"/>
                <w:szCs w:val="22"/>
              </w:rPr>
              <w:t xml:space="preserve">xã, phường</w:t>
            </w:r>
            <w:r>
              <w:rPr>
                <w:sz w:val="22"/>
                <w:szCs w:val="22"/>
                <w:lang w:val="vi-VN"/>
              </w:rPr>
              <w:t xml:space="preserve">;</w:t>
            </w:r>
            <w:r>
              <w:rPr>
                <w:sz w:val="22"/>
                <w:szCs w:val="22"/>
              </w:rPr>
            </w:r>
            <w:r>
              <w:rPr>
                <w:sz w:val="22"/>
                <w:szCs w:val="22"/>
              </w:rPr>
            </w:r>
          </w:p>
          <w:p>
            <w:pPr>
              <w:pStyle w:val="2075"/>
              <w:widowControl w:val="false"/>
              <w:pBdr/>
              <w:tabs>
                <w:tab w:val="left" w:leader="none" w:pos="567"/>
                <w:tab w:val="left" w:leader="none" w:pos="6323"/>
              </w:tabs>
              <w:spacing w:after="0" w:afterAutospacing="0" w:before="0" w:beforeAutospacing="0"/>
              <w:ind/>
              <w:rPr>
                <w:sz w:val="22"/>
                <w:szCs w:val="22"/>
              </w:rPr>
            </w:pPr>
            <w:r>
              <w:rPr>
                <w:sz w:val="22"/>
                <w:szCs w:val="22"/>
                <w:lang w:val="vi-VN"/>
              </w:rPr>
              <w:t xml:space="preserve">- </w:t>
            </w:r>
            <w:r>
              <w:rPr>
                <w:sz w:val="22"/>
                <w:szCs w:val="22"/>
              </w:rPr>
              <w:t xml:space="preserve">Các đơn vị thuộc Văn phòng;</w:t>
            </w:r>
            <w:r>
              <w:rPr>
                <w:sz w:val="22"/>
                <w:szCs w:val="22"/>
              </w:rPr>
            </w:r>
            <w:r>
              <w:rPr>
                <w:sz w:val="22"/>
                <w:szCs w:val="22"/>
              </w:rPr>
            </w:r>
          </w:p>
          <w:p>
            <w:pPr>
              <w:pStyle w:val="2075"/>
              <w:widowControl w:val="false"/>
              <w:pBdr/>
              <w:tabs>
                <w:tab w:val="left" w:leader="none" w:pos="567"/>
                <w:tab w:val="left" w:leader="none" w:pos="851"/>
                <w:tab w:val="left" w:leader="none" w:pos="1134"/>
                <w:tab w:val="left" w:leader="none" w:pos="6323"/>
              </w:tabs>
              <w:spacing w:after="0" w:afterAutospacing="0" w:before="0" w:beforeAutospacing="0"/>
              <w:ind/>
              <w:rPr>
                <w:sz w:val="22"/>
                <w:szCs w:val="22"/>
              </w:rPr>
            </w:pPr>
            <w:r>
              <w:rPr>
                <w:sz w:val="22"/>
                <w:szCs w:val="22"/>
                <w:lang w:val="vi-VN"/>
              </w:rPr>
              <w:t xml:space="preserve">- Lưu</w:t>
            </w:r>
            <w:r>
              <w:rPr>
                <w:sz w:val="22"/>
                <w:szCs w:val="22"/>
              </w:rPr>
              <w:t xml:space="preserve">:</w:t>
            </w:r>
            <w:r>
              <w:rPr>
                <w:sz w:val="22"/>
                <w:szCs w:val="22"/>
                <w:lang w:val="vi-VN"/>
              </w:rPr>
              <w:t xml:space="preserve"> VT</w:t>
            </w:r>
            <w:r>
              <w:rPr>
                <w:sz w:val="22"/>
                <w:szCs w:val="22"/>
              </w:rPr>
              <w:t xml:space="preserve">.</w:t>
            </w:r>
            <w:r>
              <w:rPr>
                <w:sz w:val="22"/>
                <w:szCs w:val="22"/>
              </w:rPr>
            </w:r>
            <w:r>
              <w:rPr>
                <w:sz w:val="22"/>
                <w:szCs w:val="22"/>
              </w:rPr>
            </w:r>
          </w:p>
          <w:p>
            <w:pPr>
              <w:pStyle w:val="2075"/>
              <w:widowControl w:val="false"/>
              <w:pBdr/>
              <w:tabs>
                <w:tab w:val="left" w:leader="none" w:pos="567"/>
                <w:tab w:val="left" w:leader="none" w:pos="851"/>
                <w:tab w:val="left" w:leader="none" w:pos="1134"/>
                <w:tab w:val="left" w:leader="none" w:pos="6323"/>
              </w:tabs>
              <w:spacing w:after="0" w:afterAutospacing="0" w:before="0" w:beforeAutospacing="0"/>
              <w:ind/>
              <w:rPr>
                <w:sz w:val="12"/>
                <w:szCs w:val="12"/>
              </w:rPr>
            </w:pPr>
            <w:r>
              <w:rPr>
                <w:sz w:val="12"/>
                <w:szCs w:val="12"/>
              </w:rPr>
              <w:t xml:space="preserve">P.A</w:t>
            </w:r>
            <w:r>
              <w:rPr>
                <w:sz w:val="12"/>
                <w:szCs w:val="12"/>
              </w:rPr>
            </w:r>
            <w:r>
              <w:rPr>
                <w:sz w:val="12"/>
                <w:szCs w:val="12"/>
              </w:rPr>
            </w:r>
          </w:p>
        </w:tc>
        <w:tc>
          <w:tcPr>
            <w:tcBorders/>
            <w:tcW w:w="4536" w:type="dxa"/>
            <w:textDirection w:val="lrTb"/>
            <w:noWrap w:val="false"/>
          </w:tcPr>
          <w:p>
            <w:pPr>
              <w:widowControl w:val="false"/>
              <w:pBdr>
                <w:top w:val="none" w:color="000000" w:sz="0" w:space="0"/>
                <w:left w:val="none" w:color="000000" w:sz="0" w:space="0"/>
                <w:bottom w:val="none" w:color="000000" w:sz="0" w:space="0"/>
                <w:right w:val="none" w:color="000000" w:sz="0" w:space="0"/>
                <w:between w:val="none" w:color="000000" w:sz="0" w:space="0"/>
              </w:pBdr>
              <w:tabs>
                <w:tab w:val="left" w:leader="none" w:pos="567"/>
              </w:tabs>
              <w:spacing/>
              <w:ind/>
              <w:jc w:val="center"/>
              <w:rPr>
                <w:b/>
                <w:bCs/>
              </w:rPr>
            </w:pPr>
            <w:r>
              <w:rPr>
                <w:b/>
                <w:bCs/>
              </w:rPr>
              <w:t xml:space="preserve">TM. ỦY BAN NHÂN DÂN</w:t>
            </w:r>
            <w:r>
              <w:rPr>
                <w:b/>
                <w:bCs/>
              </w:rPr>
            </w:r>
            <w:r>
              <w:rPr>
                <w:b/>
                <w:bCs/>
              </w:rPr>
            </w:r>
          </w:p>
          <w:p>
            <w:pPr>
              <w:widowControl w:val="false"/>
              <w:pBdr>
                <w:top w:val="none" w:color="000000" w:sz="0" w:space="0"/>
                <w:left w:val="none" w:color="000000" w:sz="0" w:space="0"/>
                <w:bottom w:val="none" w:color="000000" w:sz="0" w:space="0"/>
                <w:right w:val="none" w:color="000000" w:sz="0" w:space="0"/>
                <w:between w:val="none" w:color="000000" w:sz="0" w:space="0"/>
              </w:pBdr>
              <w:tabs>
                <w:tab w:val="left" w:leader="none" w:pos="567"/>
              </w:tabs>
              <w:spacing/>
              <w:ind/>
              <w:jc w:val="center"/>
              <w:rPr>
                <w:b/>
                <w:bCs/>
              </w:rPr>
            </w:pPr>
            <w:r>
              <w:rPr>
                <w:b/>
                <w:bCs/>
              </w:rPr>
              <w:t xml:space="preserve">CHỦ TỊCH</w:t>
            </w:r>
            <w:r>
              <w:rPr>
                <w:b/>
                <w:bCs/>
              </w:rPr>
            </w:r>
            <w:r>
              <w:rPr>
                <w:b/>
                <w:bCs/>
              </w:rPr>
            </w:r>
          </w:p>
          <w:p>
            <w:pPr>
              <w:widowControl w:val="false"/>
              <w:pBdr>
                <w:top w:val="none" w:color="000000" w:sz="0" w:space="0"/>
                <w:left w:val="none" w:color="000000" w:sz="0" w:space="0"/>
                <w:bottom w:val="none" w:color="000000" w:sz="0" w:space="0"/>
                <w:right w:val="none" w:color="000000" w:sz="0" w:space="0"/>
                <w:between w:val="none" w:color="000000" w:sz="0" w:space="0"/>
              </w:pBdr>
              <w:tabs>
                <w:tab w:val="left" w:leader="none" w:pos="567"/>
              </w:tabs>
              <w:spacing/>
              <w:ind/>
              <w:jc w:val="center"/>
              <w:rPr>
                <w:b/>
                <w:bCs/>
              </w:rPr>
            </w:pPr>
            <w:r>
              <w:rPr>
                <w:b/>
                <w:bCs/>
              </w:rPr>
            </w:r>
            <w:r>
              <w:rPr>
                <w:b/>
                <w:bCs/>
              </w:rPr>
            </w:r>
            <w:r>
              <w:rPr>
                <w:b/>
                <w:bCs/>
              </w:rPr>
            </w:r>
          </w:p>
          <w:p>
            <w:pPr>
              <w:widowControl w:val="false"/>
              <w:pBdr>
                <w:top w:val="none" w:color="000000" w:sz="0" w:space="0"/>
                <w:left w:val="none" w:color="000000" w:sz="0" w:space="0"/>
                <w:bottom w:val="none" w:color="000000" w:sz="0" w:space="0"/>
                <w:right w:val="none" w:color="000000" w:sz="0" w:space="0"/>
                <w:between w:val="none" w:color="000000" w:sz="0" w:space="0"/>
              </w:pBdr>
              <w:tabs>
                <w:tab w:val="left" w:leader="none" w:pos="567"/>
              </w:tabs>
              <w:spacing/>
              <w:ind/>
              <w:jc w:val="center"/>
              <w:rPr>
                <w:b/>
                <w:bCs/>
              </w:rPr>
            </w:pPr>
            <w:r>
              <w:rPr>
                <w:b/>
                <w:bCs/>
              </w:rPr>
            </w:r>
            <w:r>
              <w:rPr>
                <w:b/>
                <w:bCs/>
              </w:rPr>
            </w:r>
            <w:r>
              <w:rPr>
                <w:b/>
                <w:bCs/>
              </w:rPr>
            </w:r>
          </w:p>
          <w:p>
            <w:pPr>
              <w:widowControl w:val="false"/>
              <w:pBdr>
                <w:top w:val="none" w:color="000000" w:sz="0" w:space="0"/>
                <w:left w:val="none" w:color="000000" w:sz="0" w:space="0"/>
                <w:bottom w:val="none" w:color="000000" w:sz="0" w:space="0"/>
                <w:right w:val="none" w:color="000000" w:sz="0" w:space="0"/>
                <w:between w:val="none" w:color="000000" w:sz="0" w:space="0"/>
              </w:pBdr>
              <w:tabs>
                <w:tab w:val="left" w:leader="none" w:pos="567"/>
              </w:tabs>
              <w:spacing/>
              <w:ind/>
              <w:jc w:val="center"/>
              <w:rPr>
                <w:b/>
                <w:bCs/>
              </w:rPr>
            </w:pPr>
            <w:r>
              <w:rPr>
                <w:b/>
                <w:bCs/>
              </w:rPr>
            </w:r>
            <w:r>
              <w:rPr>
                <w:b/>
                <w:bCs/>
              </w:rPr>
            </w:r>
            <w:r>
              <w:rPr>
                <w:b/>
                <w:bCs/>
              </w:rPr>
            </w:r>
          </w:p>
          <w:p>
            <w:pPr>
              <w:widowControl w:val="false"/>
              <w:pBdr>
                <w:top w:val="none" w:color="000000" w:sz="0" w:space="0"/>
                <w:left w:val="none" w:color="000000" w:sz="0" w:space="0"/>
                <w:bottom w:val="none" w:color="000000" w:sz="0" w:space="0"/>
                <w:right w:val="none" w:color="000000" w:sz="0" w:space="0"/>
                <w:between w:val="none" w:color="000000" w:sz="0" w:space="0"/>
              </w:pBdr>
              <w:tabs>
                <w:tab w:val="left" w:leader="none" w:pos="567"/>
              </w:tabs>
              <w:spacing/>
              <w:ind/>
              <w:jc w:val="center"/>
              <w:rPr>
                <w:b/>
                <w:bCs/>
              </w:rPr>
            </w:pPr>
            <w:r>
              <w:rPr>
                <w:b/>
                <w:bCs/>
              </w:rPr>
            </w:r>
            <w:r>
              <w:rPr>
                <w:b/>
                <w:bCs/>
              </w:rPr>
            </w:r>
            <w:r>
              <w:rPr>
                <w:b/>
                <w:bCs/>
              </w:rPr>
            </w:r>
          </w:p>
          <w:p>
            <w:pPr>
              <w:widowControl w:val="false"/>
              <w:pBdr>
                <w:top w:val="none" w:color="000000" w:sz="0" w:space="0"/>
                <w:left w:val="none" w:color="000000" w:sz="0" w:space="0"/>
                <w:bottom w:val="none" w:color="000000" w:sz="0" w:space="0"/>
                <w:right w:val="none" w:color="000000" w:sz="0" w:space="0"/>
                <w:between w:val="none" w:color="000000" w:sz="0" w:space="0"/>
              </w:pBdr>
              <w:tabs>
                <w:tab w:val="left" w:leader="none" w:pos="567"/>
              </w:tabs>
              <w:spacing/>
              <w:ind/>
              <w:jc w:val="center"/>
              <w:rPr>
                <w:b/>
                <w:bCs/>
              </w:rPr>
            </w:pPr>
            <w:r>
              <w:rPr>
                <w:b/>
                <w:bCs/>
              </w:rPr>
            </w:r>
            <w:r>
              <w:rPr>
                <w:b/>
                <w:bCs/>
              </w:rPr>
            </w:r>
            <w:r>
              <w:rPr>
                <w:b/>
                <w:bCs/>
              </w:rPr>
            </w:r>
          </w:p>
          <w:p>
            <w:pPr>
              <w:widowControl w:val="false"/>
              <w:pBdr>
                <w:top w:val="none" w:color="000000" w:sz="0" w:space="0"/>
                <w:left w:val="none" w:color="000000" w:sz="0" w:space="0"/>
                <w:bottom w:val="none" w:color="000000" w:sz="0" w:space="0"/>
                <w:right w:val="none" w:color="000000" w:sz="0" w:space="0"/>
                <w:between w:val="none" w:color="000000" w:sz="0" w:space="0"/>
              </w:pBdr>
              <w:tabs>
                <w:tab w:val="left" w:leader="none" w:pos="567"/>
              </w:tabs>
              <w:spacing/>
              <w:ind/>
              <w:jc w:val="left"/>
              <w:rPr>
                <w:b/>
                <w:bCs/>
              </w:rPr>
            </w:pPr>
            <w:r>
              <w:rPr>
                <w:b/>
                <w:bCs/>
              </w:rPr>
            </w:r>
            <w:r>
              <w:rPr>
                <w:b/>
                <w:bCs/>
              </w:rPr>
            </w:r>
            <w:r>
              <w:rPr>
                <w:b/>
                <w:bCs/>
              </w:rPr>
            </w:r>
          </w:p>
          <w:p>
            <w:pPr>
              <w:widowControl w:val="false"/>
              <w:pBdr>
                <w:top w:val="none" w:color="000000" w:sz="0" w:space="0"/>
                <w:left w:val="none" w:color="000000" w:sz="0" w:space="0"/>
                <w:bottom w:val="none" w:color="000000" w:sz="0" w:space="0"/>
                <w:right w:val="none" w:color="000000" w:sz="0" w:space="0"/>
                <w:between w:val="none" w:color="000000" w:sz="0" w:space="0"/>
              </w:pBdr>
              <w:tabs>
                <w:tab w:val="left" w:leader="none" w:pos="567"/>
              </w:tabs>
              <w:spacing/>
              <w:ind/>
              <w:jc w:val="center"/>
              <w:rPr>
                <w:b/>
                <w:bCs/>
              </w:rPr>
            </w:pPr>
            <w:r>
              <w:rPr>
                <w:b/>
                <w:bCs/>
              </w:rPr>
            </w:r>
            <w:r>
              <w:rPr>
                <w:b/>
                <w:bCs/>
              </w:rPr>
            </w:r>
            <w:r>
              <w:rPr>
                <w:b/>
                <w:bCs/>
              </w:rPr>
            </w:r>
          </w:p>
          <w:p>
            <w:pPr>
              <w:widowControl w:val="false"/>
              <w:pBdr>
                <w:top w:val="none" w:color="000000" w:sz="0" w:space="0"/>
                <w:left w:val="none" w:color="000000" w:sz="0" w:space="0"/>
                <w:bottom w:val="none" w:color="000000" w:sz="0" w:space="0"/>
                <w:right w:val="none" w:color="000000" w:sz="0" w:space="0"/>
                <w:between w:val="none" w:color="000000" w:sz="0" w:space="0"/>
              </w:pBdr>
              <w:tabs>
                <w:tab w:val="left" w:leader="none" w:pos="567"/>
              </w:tabs>
              <w:spacing/>
              <w:ind/>
              <w:jc w:val="center"/>
              <w:rPr>
                <w:b/>
                <w:bCs/>
              </w:rPr>
            </w:pPr>
            <w:r>
              <w:rPr>
                <w:b/>
                <w:bCs/>
              </w:rPr>
            </w:r>
            <w:r>
              <w:rPr>
                <w:b/>
                <w:bCs/>
              </w:rPr>
            </w:r>
            <w:r>
              <w:rPr>
                <w:b/>
                <w:bCs/>
              </w:rPr>
            </w:r>
          </w:p>
          <w:p>
            <w:pPr>
              <w:widowControl w:val="false"/>
              <w:pBdr>
                <w:top w:val="none" w:color="000000" w:sz="0" w:space="0"/>
                <w:left w:val="none" w:color="000000" w:sz="0" w:space="0"/>
                <w:bottom w:val="none" w:color="000000" w:sz="0" w:space="0"/>
                <w:right w:val="none" w:color="000000" w:sz="0" w:space="0"/>
                <w:between w:val="none" w:color="000000" w:sz="0" w:space="0"/>
              </w:pBdr>
              <w:tabs>
                <w:tab w:val="left" w:leader="none" w:pos="567"/>
              </w:tabs>
              <w:spacing/>
              <w:ind/>
              <w:jc w:val="center"/>
              <w:rPr>
                <w:b/>
                <w:bCs/>
              </w:rPr>
            </w:pPr>
            <w:r>
              <w:rPr>
                <w:b/>
                <w:bCs/>
              </w:rPr>
              <w:t xml:space="preserve">Nguyễn Văn Út</w:t>
            </w:r>
            <w:r>
              <w:rPr>
                <w:b/>
                <w:bCs/>
              </w:rPr>
            </w:r>
            <w:r>
              <w:rPr>
                <w:b/>
                <w:bCs/>
              </w:rPr>
            </w:r>
          </w:p>
        </w:tc>
      </w:tr>
    </w:tbl>
    <w:p>
      <w:pPr>
        <w:pBdr/>
        <w:tabs>
          <w:tab w:val="left" w:leader="none" w:pos="567"/>
        </w:tabs>
        <w:spacing/>
        <w:ind/>
        <w:rPr/>
      </w:pPr>
      <w:r/>
      <w:r/>
    </w:p>
    <w:sectPr>
      <w:headerReference w:type="default" r:id="rId9"/>
      <w:headerReference w:type="even" r:id="rId10"/>
      <w:footerReference w:type="even" r:id="rId11"/>
      <w:footnotePr/>
      <w:endnotePr/>
      <w:type w:val="nextPage"/>
      <w:pgSz w:h="16840" w:orient="portrait" w:w="11907"/>
      <w:pgMar w:top="1134" w:right="1021" w:bottom="1134" w:left="1588" w:header="720" w:footer="578" w:gutter="0"/>
      <w:pgNumType w:start="1"/>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panose1 w:val="02010600030101010101"/>
  </w:font>
  <w:font w:name="Segoe UI">
    <w:panose1 w:val="020B0502040204020203"/>
  </w:font>
  <w:font w:name="TimesNewRomanPSMT">
    <w:panose1 w:val="02020603050405020304"/>
  </w:font>
  <w:font w:name="Lucida Sans Unicode">
    <w:panose1 w:val="020B0602030504020204"/>
  </w:font>
  <w:font w:name="Courier New">
    <w:panose1 w:val="02070309020205020404"/>
  </w:font>
  <w:font w:name="Mangal">
    <w:panose1 w:val="02040503050406030204"/>
  </w:font>
  <w:font w:name="VNI-Times">
    <w:panose1 w:val="05040102010807070707"/>
  </w:font>
  <w:font w:name="Arial">
    <w:panose1 w:val="020B0604020202020204"/>
  </w:font>
  <w:font w:name="Aptos">
    <w:panose1 w:val="05040102010807070707"/>
  </w:font>
  <w:font w:name="Calibri">
    <w:panose1 w:val="020F050202020403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2067"/>
      <w:framePr w:hAnchor="margin" w:vAnchor="text" w:wrap="around" w:xAlign="right" w:y="1"/>
      <w:pBdr/>
      <w:spacing/>
      <w:ind/>
      <w:rPr>
        <w:rStyle w:val="2069"/>
      </w:rPr>
    </w:pPr>
    <w:r>
      <w:rPr>
        <w:rStyle w:val="2069"/>
      </w:rPr>
      <w:fldChar w:fldCharType="begin"/>
    </w:r>
    <w:r>
      <w:rPr>
        <w:rStyle w:val="2069"/>
      </w:rPr>
      <w:instrText xml:space="preserve">PAGE  </w:instrText>
    </w:r>
    <w:r>
      <w:rPr>
        <w:rStyle w:val="2069"/>
      </w:rPr>
      <w:fldChar w:fldCharType="end"/>
    </w:r>
    <w:r>
      <w:rPr>
        <w:rStyle w:val="2069"/>
      </w:rPr>
    </w:r>
    <w:r>
      <w:rPr>
        <w:rStyle w:val="2069"/>
      </w:rPr>
    </w:r>
  </w:p>
  <w:p>
    <w:pPr>
      <w:pStyle w:val="2067"/>
      <w:pBdr/>
      <w:spacing/>
      <w:ind w:right="360"/>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 w:id="2">
    <w:p>
      <w:pPr>
        <w:pStyle w:val="2064"/>
        <w:pBdr/>
        <w:spacing/>
        <w:ind/>
        <w:jc w:val="both"/>
        <w:rPr>
          <w:sz w:val="20"/>
          <w:szCs w:val="20"/>
        </w:rPr>
      </w:pPr>
      <w:r>
        <w:rPr>
          <w:rStyle w:val="2063"/>
          <w:sz w:val="20"/>
          <w:szCs w:val="20"/>
        </w:rPr>
        <w:footnoteRef/>
      </w:r>
      <w:r>
        <w:rPr>
          <w:sz w:val="20"/>
          <w:szCs w:val="20"/>
        </w:rPr>
        <w:t xml:space="preserve"> Đ</w:t>
      </w:r>
      <w:r>
        <w:rPr>
          <w:rFonts w:eastAsia="Calibri"/>
          <w:sz w:val="20"/>
          <w:szCs w:val="20"/>
          <w:lang w:val="vi-VN"/>
        </w:rPr>
        <w:t xml:space="preserve">ến ngày 12/</w:t>
      </w:r>
      <w:r>
        <w:rPr>
          <w:rFonts w:eastAsia="Calibri"/>
          <w:sz w:val="20"/>
          <w:szCs w:val="20"/>
        </w:rPr>
        <w:t xml:space="preserve">8</w:t>
      </w:r>
      <w:r>
        <w:rPr>
          <w:rFonts w:eastAsia="Calibri"/>
          <w:sz w:val="20"/>
          <w:szCs w:val="20"/>
          <w:lang w:val="vi-VN"/>
        </w:rPr>
        <w:t xml:space="preserve">/2025</w:t>
      </w:r>
      <w:r>
        <w:rPr>
          <w:rFonts w:eastAsia="Calibri"/>
          <w:sz w:val="20"/>
          <w:szCs w:val="20"/>
        </w:rPr>
        <w:t xml:space="preserve">.</w:t>
      </w:r>
      <w:r>
        <w:rPr>
          <w:sz w:val="20"/>
          <w:szCs w:val="20"/>
        </w:rPr>
      </w:r>
      <w:r>
        <w:rPr>
          <w:sz w:val="20"/>
          <w:szCs w:val="20"/>
        </w:rPr>
      </w:r>
    </w:p>
  </w:footnote>
  <w:footnote w:id="3">
    <w:p>
      <w:pPr>
        <w:pBdr>
          <w:top w:val="none" w:color="000000" w:sz="4" w:space="0"/>
          <w:left w:val="none" w:color="000000" w:sz="4" w:space="0"/>
          <w:bottom w:val="none" w:color="000000" w:sz="4" w:space="0"/>
          <w:right w:val="none" w:color="000000" w:sz="4" w:space="0"/>
          <w:between w:val="none" w:color="000000" w:sz="4" w:space="0"/>
        </w:pBdr>
        <w:spacing/>
        <w:ind/>
        <w:jc w:val="both"/>
        <w:rPr>
          <w:rFonts w:eastAsia="Arial"/>
          <w:spacing w:val="3"/>
          <w:sz w:val="20"/>
          <w:szCs w:val="20"/>
          <w:shd w:val="clear" w:color="auto" w:fill="ffffff"/>
        </w:rPr>
      </w:pPr>
      <w:r>
        <w:rPr>
          <w:rStyle w:val="2063"/>
          <w:sz w:val="20"/>
          <w:szCs w:val="20"/>
        </w:rPr>
        <w:footnoteRef/>
      </w:r>
      <w:r>
        <w:rPr>
          <w:sz w:val="20"/>
          <w:szCs w:val="20"/>
        </w:rPr>
        <w:t xml:space="preserve"> </w:t>
      </w:r>
      <w:r>
        <w:rPr>
          <w:i/>
          <w:sz w:val="20"/>
          <w:szCs w:val="20"/>
        </w:rPr>
        <w:t xml:space="preserve">* Rau màu-cây công nghiệp ngắn ngày vụ Hè thu 2025: </w:t>
      </w:r>
      <w:r>
        <w:rPr>
          <w:rFonts w:eastAsia="Arial"/>
          <w:spacing w:val="3"/>
          <w:sz w:val="20"/>
          <w:szCs w:val="20"/>
          <w:shd w:val="clear" w:color="auto" w:fill="ffffff"/>
          <w:lang w:val="vi-VN"/>
        </w:rPr>
        <w:t xml:space="preserve">Cây mỳ (sắn): Diện tích gieo trồng là 5.902 ha. Khoai mỡ Diện tích gieo trồng là 5.902 ha. Dưa hấu: DT gieo trồng là 1.633 ha. Rau các loại: DT gieo trồng là 10.549 ha</w:t>
      </w:r>
      <w:r>
        <w:rPr>
          <w:rFonts w:eastAsia="Arial"/>
          <w:spacing w:val="3"/>
          <w:sz w:val="20"/>
          <w:szCs w:val="20"/>
          <w:shd w:val="clear" w:color="auto" w:fill="ffffff"/>
        </w:rPr>
        <w:t xml:space="preserve">.</w:t>
      </w:r>
      <w:r>
        <w:rPr>
          <w:rFonts w:eastAsia="Arial"/>
          <w:spacing w:val="3"/>
          <w:sz w:val="20"/>
          <w:szCs w:val="20"/>
          <w:shd w:val="clear" w:color="auto" w:fill="ffffff"/>
        </w:rPr>
      </w:r>
      <w:r>
        <w:rPr>
          <w:rFonts w:eastAsia="Arial"/>
          <w:spacing w:val="3"/>
          <w:sz w:val="20"/>
          <w:szCs w:val="20"/>
          <w:shd w:val="clear" w:color="auto" w:fill="ffffff"/>
        </w:rPr>
      </w:r>
    </w:p>
    <w:p>
      <w:pPr>
        <w:pBdr>
          <w:bottom w:val="none" w:color="000000" w:sz="0" w:space="11"/>
        </w:pBdr>
        <w:spacing/>
        <w:ind/>
        <w:jc w:val="both"/>
        <w:rPr>
          <w:rFonts w:eastAsia="Calibri"/>
          <w:sz w:val="20"/>
          <w:szCs w:val="20"/>
          <w:lang w:val="vi-VN"/>
        </w:rPr>
      </w:pPr>
      <w:r>
        <w:rPr>
          <w:i/>
          <w:sz w:val="20"/>
          <w:szCs w:val="20"/>
        </w:rPr>
        <w:t xml:space="preserve">* Cây ăn quả:</w:t>
      </w:r>
      <w:r>
        <w:rPr>
          <w:b/>
          <w:i/>
          <w:sz w:val="20"/>
          <w:szCs w:val="20"/>
        </w:rPr>
        <w:t xml:space="preserve"> </w:t>
      </w:r>
      <w:r>
        <w:rPr>
          <w:sz w:val="20"/>
          <w:szCs w:val="20"/>
          <w:lang w:val="vi-VN"/>
        </w:rPr>
        <w:t xml:space="preserve"> Cây thanh long: </w:t>
      </w:r>
      <w:r>
        <w:rPr>
          <w:rFonts w:eastAsia="Calibri"/>
          <w:sz w:val="20"/>
          <w:szCs w:val="20"/>
        </w:rPr>
        <w:t xml:space="preserve">DT </w:t>
      </w:r>
      <w:r>
        <w:rPr>
          <w:rFonts w:eastAsia="Calibri"/>
          <w:sz w:val="20"/>
          <w:szCs w:val="20"/>
          <w:lang w:val="vi-VN"/>
        </w:rPr>
        <w:t xml:space="preserve">trồng đạt </w:t>
      </w:r>
      <w:r>
        <w:rPr>
          <w:rFonts w:eastAsia="Calibri"/>
          <w:sz w:val="20"/>
          <w:szCs w:val="20"/>
          <w:lang w:val="es-CR"/>
        </w:rPr>
        <w:t xml:space="preserve">7.338 ha</w:t>
      </w:r>
      <w:r>
        <w:rPr>
          <w:rFonts w:eastAsia="Calibri"/>
          <w:sz w:val="20"/>
          <w:szCs w:val="20"/>
          <w:lang w:val="vi-VN"/>
        </w:rPr>
        <w:t xml:space="preserve">, bằng </w:t>
      </w:r>
      <w:r>
        <w:rPr>
          <w:rFonts w:eastAsia="Calibri"/>
          <w:sz w:val="20"/>
          <w:szCs w:val="20"/>
          <w:lang w:val="es-CR"/>
        </w:rPr>
        <w:t xml:space="preserve">95,6</w:t>
      </w:r>
      <w:r>
        <w:rPr>
          <w:rFonts w:eastAsia="Calibri"/>
          <w:sz w:val="20"/>
          <w:szCs w:val="20"/>
          <w:lang w:val="vi-VN"/>
        </w:rPr>
        <w:t xml:space="preserve">% so với cùng kỳ, </w:t>
      </w:r>
      <w:r>
        <w:rPr>
          <w:rFonts w:eastAsia="Calibri"/>
          <w:sz w:val="20"/>
          <w:szCs w:val="20"/>
        </w:rPr>
        <w:t xml:space="preserve">d</w:t>
      </w:r>
      <w:r>
        <w:rPr>
          <w:rFonts w:eastAsia="Calibri"/>
          <w:sz w:val="20"/>
          <w:szCs w:val="20"/>
          <w:lang w:val="vi-VN"/>
        </w:rPr>
        <w:t xml:space="preserve">iện tích cho trái là 6.860 ha</w:t>
      </w:r>
      <w:r>
        <w:rPr>
          <w:rFonts w:eastAsia="Calibri"/>
          <w:sz w:val="20"/>
          <w:szCs w:val="20"/>
        </w:rPr>
        <w:t xml:space="preserve">; </w:t>
      </w:r>
      <w:r>
        <w:rPr>
          <w:sz w:val="20"/>
          <w:szCs w:val="20"/>
          <w:lang w:val="es-CR"/>
        </w:rPr>
        <w:t xml:space="preserve">Cây chanh:</w:t>
      </w:r>
      <w:r>
        <w:rPr>
          <w:b/>
          <w:sz w:val="20"/>
          <w:szCs w:val="20"/>
          <w:lang w:val="es-CR"/>
        </w:rPr>
        <w:t xml:space="preserve"> </w:t>
      </w:r>
      <w:r>
        <w:rPr>
          <w:rFonts w:eastAsia="Calibri"/>
          <w:sz w:val="20"/>
          <w:szCs w:val="20"/>
        </w:rPr>
        <w:t xml:space="preserve">DT</w:t>
      </w:r>
      <w:r>
        <w:rPr>
          <w:sz w:val="20"/>
          <w:szCs w:val="20"/>
          <w:lang w:val="vi-VN"/>
        </w:rPr>
        <w:t xml:space="preserve"> trồng</w:t>
      </w:r>
      <w:r>
        <w:rPr>
          <w:sz w:val="20"/>
          <w:szCs w:val="20"/>
          <w:lang w:val="es-CR"/>
        </w:rPr>
        <w:t xml:space="preserve"> </w:t>
      </w:r>
      <w:r>
        <w:rPr>
          <w:sz w:val="20"/>
          <w:szCs w:val="20"/>
          <w:lang w:val="vi-VN"/>
        </w:rPr>
        <w:t xml:space="preserve">đạt </w:t>
      </w:r>
      <w:r>
        <w:rPr>
          <w:sz w:val="20"/>
          <w:szCs w:val="20"/>
          <w:lang w:val="es-CR"/>
        </w:rPr>
        <w:t xml:space="preserve">11.888 </w:t>
      </w:r>
      <w:r>
        <w:rPr>
          <w:sz w:val="20"/>
          <w:szCs w:val="20"/>
          <w:lang w:val="vi-VN"/>
        </w:rPr>
        <w:t xml:space="preserve">ha</w:t>
      </w:r>
      <w:r>
        <w:rPr>
          <w:sz w:val="20"/>
          <w:szCs w:val="20"/>
          <w:lang w:val="es-CR"/>
        </w:rPr>
        <w:t xml:space="preserve">, </w:t>
      </w:r>
      <w:r>
        <w:rPr>
          <w:sz w:val="20"/>
          <w:szCs w:val="20"/>
          <w:lang w:val="vi-VN"/>
        </w:rPr>
        <w:t xml:space="preserve">tăng 4,54%</w:t>
      </w:r>
      <w:r>
        <w:rPr>
          <w:sz w:val="20"/>
          <w:szCs w:val="20"/>
        </w:rPr>
        <w:t xml:space="preserve"> so với cùng kỳ; d</w:t>
      </w:r>
      <w:r>
        <w:rPr>
          <w:sz w:val="20"/>
          <w:szCs w:val="20"/>
          <w:lang w:val="vi-VN"/>
        </w:rPr>
        <w:t xml:space="preserve">iện tích chanh cho trái là 10.</w:t>
      </w:r>
      <w:r>
        <w:rPr>
          <w:rFonts w:eastAsia="Calibri"/>
          <w:sz w:val="20"/>
          <w:szCs w:val="20"/>
          <w:lang w:val="vi-VN"/>
        </w:rPr>
        <w:t xml:space="preserve">888 ha; Cây mãng cầu: Diện tích trồng 6.110 ha, diện tích cho sản phẩm 5.641,5 ha. Cây mít: Diện tích trồng 4</w:t>
      </w:r>
      <w:r>
        <w:rPr>
          <w:spacing w:val="-2"/>
          <w:sz w:val="20"/>
          <w:szCs w:val="20"/>
          <w:shd w:val="clear" w:color="auto" w:fill="ffffff"/>
          <w:lang w:val="sv-SE"/>
        </w:rPr>
        <w:t xml:space="preserve">.660 ha</w:t>
      </w:r>
      <w:r>
        <w:rPr>
          <w:rFonts w:eastAsia="Calibri"/>
          <w:sz w:val="20"/>
          <w:szCs w:val="20"/>
          <w:lang w:val="vi-VN"/>
        </w:rPr>
        <w:t xml:space="preserve">, diện tích cho trái 3.797 ha. Cây sầu riêng: Diện tích trồng 4.686 ha, diện tích cho sản phẩm 2.652 ha.</w:t>
      </w:r>
      <w:r>
        <w:rPr>
          <w:rFonts w:eastAsia="Calibri"/>
          <w:sz w:val="20"/>
          <w:szCs w:val="20"/>
          <w:lang w:val="vi-VN"/>
        </w:rPr>
      </w:r>
      <w:r>
        <w:rPr>
          <w:rFonts w:eastAsia="Calibri"/>
          <w:sz w:val="20"/>
          <w:szCs w:val="20"/>
          <w:lang w:val="vi-VN"/>
        </w:rPr>
      </w:r>
    </w:p>
  </w:footnote>
  <w:footnote w:id="4">
    <w:p>
      <w:pPr>
        <w:pBdr>
          <w:bottom w:val="none" w:color="000000" w:sz="0" w:space="11"/>
        </w:pBdr>
        <w:spacing/>
        <w:ind/>
        <w:jc w:val="both"/>
        <w:rPr>
          <w:sz w:val="20"/>
          <w:szCs w:val="20"/>
        </w:rPr>
      </w:pPr>
      <w:r>
        <w:rPr>
          <w:sz w:val="20"/>
          <w:szCs w:val="20"/>
          <w:shd w:val="clear" w:color="auto" w:fill="ffffff"/>
          <w:vertAlign w:val="superscript"/>
          <w:lang w:val="sv-SE"/>
        </w:rPr>
        <w:footnoteRef/>
      </w:r>
      <w:r>
        <w:rPr>
          <w:spacing w:val="-2"/>
          <w:sz w:val="20"/>
          <w:szCs w:val="20"/>
          <w:shd w:val="clear" w:color="auto" w:fill="ffffff"/>
          <w:lang w:val="sv-SE"/>
        </w:rPr>
        <w:t xml:space="preserve"> Trong tháng đã tiêm phòng: Lở mồm long móng trên trâu bò, heo, dê (</w:t>
      </w:r>
      <w:r>
        <w:rPr>
          <w:rFonts w:eastAsia="Calibri"/>
          <w:bCs/>
          <w:sz w:val="20"/>
          <w:szCs w:val="20"/>
          <w:lang w:val="en"/>
        </w:rPr>
        <w:t xml:space="preserve">19.373 </w:t>
      </w:r>
      <w:r>
        <w:rPr>
          <w:spacing w:val="-2"/>
          <w:sz w:val="20"/>
          <w:szCs w:val="20"/>
          <w:shd w:val="clear" w:color="auto" w:fill="ffffff"/>
          <w:lang w:val="sv-SE"/>
        </w:rPr>
        <w:t xml:space="preserve">liều), </w:t>
      </w:r>
      <w:r>
        <w:rPr>
          <w:rFonts w:eastAsia="Calibri"/>
          <w:bCs/>
          <w:sz w:val="20"/>
          <w:szCs w:val="20"/>
          <w:lang w:val="en"/>
        </w:rPr>
        <w:t xml:space="preserve">tai xanh trên heo (2.944 liều), dại (15.776 liều), cúm gia cầm (15.776 liề</w:t>
      </w:r>
      <w:r>
        <w:rPr>
          <w:rFonts w:eastAsia="Calibri"/>
          <w:bCs/>
          <w:sz w:val="20"/>
          <w:szCs w:val="20"/>
          <w:lang w:val="en"/>
        </w:rPr>
        <w:t xml:space="preserve">u),…</w:t>
      </w:r>
      <w:r>
        <w:rPr>
          <w:sz w:val="20"/>
          <w:szCs w:val="20"/>
        </w:rPr>
      </w:r>
      <w:r>
        <w:rPr>
          <w:sz w:val="20"/>
          <w:szCs w:val="20"/>
        </w:rPr>
      </w:r>
    </w:p>
  </w:footnote>
  <w:footnote w:id="5">
    <w:p>
      <w:pPr>
        <w:pBdr>
          <w:bottom w:val="none" w:color="000000" w:sz="0" w:space="11"/>
        </w:pBdr>
        <w:spacing/>
        <w:ind/>
        <w:jc w:val="both"/>
        <w:rPr>
          <w:rFonts w:eastAsia="Calibri"/>
          <w:bCs/>
          <w:spacing w:val="-2"/>
          <w:sz w:val="20"/>
          <w:szCs w:val="20"/>
          <w:lang w:val="en"/>
        </w:rPr>
      </w:pPr>
      <w:r>
        <w:rPr>
          <w:sz w:val="20"/>
          <w:szCs w:val="20"/>
          <w:vertAlign w:val="superscript"/>
        </w:rPr>
        <w:footnoteRef/>
      </w:r>
      <w:r>
        <w:rPr>
          <w:sz w:val="20"/>
          <w:szCs w:val="20"/>
        </w:rPr>
        <w:t xml:space="preserve"> </w:t>
      </w:r>
      <w:r>
        <w:rPr>
          <w:rFonts w:eastAsia="Calibri"/>
          <w:bCs/>
          <w:spacing w:val="-2"/>
          <w:sz w:val="20"/>
          <w:szCs w:val="20"/>
          <w:lang w:val="en"/>
        </w:rPr>
        <w:t xml:space="preserve">Phát sinh 02 ổ dịch Dịch tả heo Châu Phi</w:t>
      </w:r>
      <w:r>
        <w:rPr>
          <w:sz w:val="20"/>
          <w:szCs w:val="20"/>
        </w:rPr>
        <w:t xml:space="preserve">.</w:t>
      </w:r>
      <w:r>
        <w:rPr>
          <w:rFonts w:eastAsia="Calibri"/>
          <w:bCs/>
          <w:spacing w:val="-2"/>
          <w:lang w:val="en"/>
        </w:rPr>
        <w:t xml:space="preserve"> </w:t>
      </w:r>
      <w:r>
        <w:rPr>
          <w:rFonts w:eastAsia="Calibri"/>
          <w:bCs/>
          <w:spacing w:val="-2"/>
          <w:sz w:val="20"/>
          <w:szCs w:val="20"/>
          <w:lang w:val="en"/>
        </w:rPr>
        <w:t xml:space="preserve">G</w:t>
      </w:r>
      <w:r>
        <w:rPr>
          <w:rFonts w:eastAsia="Calibri"/>
          <w:bCs/>
          <w:sz w:val="20"/>
          <w:szCs w:val="20"/>
          <w:lang w:val="en"/>
        </w:rPr>
        <w:t xml:space="preserve">hi nhận 01 trường hợp tử vong ở người do bệnh Dại tại xã Châu Thành</w:t>
      </w:r>
      <w:r>
        <w:rPr>
          <w:rFonts w:eastAsia="Calibri"/>
          <w:bCs/>
          <w:spacing w:val="-2"/>
          <w:sz w:val="20"/>
          <w:szCs w:val="20"/>
          <w:lang w:val="en"/>
        </w:rPr>
        <w:t xml:space="preserve">. từ đầu năm, xảy ra bệnh DTHCP tại 24 hộ thuộc 14 xã với tổng số 1.240 con heo bị tiêu hủy, tương đươ</w:t>
      </w:r>
      <w:r>
        <w:rPr>
          <w:rFonts w:eastAsia="Calibri"/>
          <w:bCs/>
          <w:spacing w:val="-2"/>
          <w:sz w:val="20"/>
          <w:szCs w:val="20"/>
          <w:lang w:val="en"/>
        </w:rPr>
        <w:t xml:space="preserve">ng 44.834,2 kg. Bệnh Cúm gia cầm xảy ra 01 hộ, 01 xã với tổng số tiêu hủy 2.200 con gà. Bệnh Dại xảy ra 3 hộ phát sinh bệnh Dại, thuộc địa bàn 03 xã, phường gồm Tân Lập, Mỹ Yên, Long Hoa với tổng số 03 con chó bị tiêu hủy; 05 trường hợp tử vong trên người.</w:t>
      </w:r>
      <w:r>
        <w:rPr>
          <w:rFonts w:eastAsia="Calibri"/>
          <w:bCs/>
          <w:spacing w:val="-2"/>
          <w:sz w:val="20"/>
          <w:szCs w:val="20"/>
          <w:lang w:val="en"/>
        </w:rPr>
      </w:r>
      <w:r>
        <w:rPr>
          <w:rFonts w:eastAsia="Calibri"/>
          <w:bCs/>
          <w:spacing w:val="-2"/>
          <w:sz w:val="20"/>
          <w:szCs w:val="20"/>
          <w:lang w:val="en"/>
        </w:rPr>
      </w:r>
    </w:p>
  </w:footnote>
  <w:footnote w:id="6">
    <w:p>
      <w:pPr>
        <w:pBdr>
          <w:bottom w:val="none" w:color="000000" w:sz="0" w:space="11"/>
        </w:pBdr>
        <w:spacing/>
        <w:ind/>
        <w:jc w:val="both"/>
        <w:rPr>
          <w:sz w:val="20"/>
          <w:szCs w:val="20"/>
          <w:shd w:val="clear" w:color="auto" w:fill="ffffff"/>
          <w:lang w:val="vi-VN"/>
        </w:rPr>
      </w:pPr>
      <w:r>
        <w:rPr>
          <w:rStyle w:val="2063"/>
          <w:sz w:val="20"/>
          <w:szCs w:val="20"/>
        </w:rPr>
        <w:footnoteRef/>
      </w:r>
      <w:r>
        <w:rPr>
          <w:sz w:val="20"/>
          <w:szCs w:val="20"/>
        </w:rPr>
        <w:t xml:space="preserve"> G</w:t>
      </w:r>
      <w:r>
        <w:rPr>
          <w:spacing w:val="-2"/>
          <w:sz w:val="20"/>
          <w:szCs w:val="20"/>
          <w:lang w:val="vi-VN"/>
        </w:rPr>
        <w:t xml:space="preserve">iá chanh</w:t>
      </w:r>
      <w:r>
        <w:rPr>
          <w:spacing w:val="-2"/>
          <w:sz w:val="20"/>
          <w:szCs w:val="20"/>
        </w:rPr>
        <w:t xml:space="preserve"> có hạt và </w:t>
      </w:r>
      <w:r>
        <w:rPr>
          <w:rStyle w:val="2076"/>
          <w:sz w:val="20"/>
          <w:szCs w:val="20"/>
          <w:shd w:val="clear" w:color="auto" w:fill="ffffff"/>
          <w:lang w:val="vi-VN"/>
        </w:rPr>
        <w:t xml:space="preserve">giá chanh không hạt</w:t>
      </w:r>
      <w:r>
        <w:rPr>
          <w:rStyle w:val="2076"/>
          <w:sz w:val="20"/>
          <w:szCs w:val="20"/>
          <w:shd w:val="clear" w:color="auto" w:fill="ffffff"/>
        </w:rPr>
        <w:t xml:space="preserve"> có giảm so với tháng trước</w:t>
      </w:r>
      <w:r>
        <w:rPr>
          <w:spacing w:val="-2"/>
          <w:sz w:val="20"/>
          <w:szCs w:val="20"/>
          <w:lang w:val="vi-VN"/>
        </w:rPr>
        <w:t xml:space="preserve">;</w:t>
      </w:r>
      <w:r>
        <w:rPr>
          <w:sz w:val="20"/>
          <w:szCs w:val="20"/>
          <w:shd w:val="clear" w:color="auto" w:fill="ffffff"/>
          <w:lang w:val="vi-VN"/>
        </w:rPr>
        <w:t xml:space="preserve"> </w:t>
      </w:r>
      <w:r>
        <w:rPr>
          <w:rStyle w:val="2076"/>
          <w:sz w:val="20"/>
          <w:szCs w:val="20"/>
          <w:shd w:val="clear" w:color="auto" w:fill="ffffff"/>
          <w:lang w:val="vi-VN"/>
        </w:rPr>
        <w:t xml:space="preserve">Cụ thể giá chanh có hạt từ 2.000-3.000 đồng/kg</w:t>
      </w:r>
      <w:r>
        <w:rPr>
          <w:rStyle w:val="2076"/>
          <w:sz w:val="20"/>
          <w:szCs w:val="20"/>
          <w:shd w:val="clear" w:color="auto" w:fill="ffffff"/>
        </w:rPr>
        <w:t xml:space="preserve">; g</w:t>
      </w:r>
      <w:r>
        <w:rPr>
          <w:rStyle w:val="2076"/>
          <w:sz w:val="20"/>
          <w:szCs w:val="20"/>
          <w:shd w:val="clear" w:color="auto" w:fill="ffffff"/>
          <w:lang w:val="vi-VN"/>
        </w:rPr>
        <w:t xml:space="preserve">iá chanh không hạt từ </w:t>
      </w:r>
      <w:r>
        <w:rPr>
          <w:rStyle w:val="2076"/>
          <w:sz w:val="20"/>
          <w:szCs w:val="20"/>
          <w:shd w:val="clear" w:color="auto" w:fill="ffffff"/>
        </w:rPr>
        <w:t xml:space="preserve">9</w:t>
      </w:r>
      <w:r>
        <w:rPr>
          <w:rStyle w:val="2076"/>
          <w:sz w:val="20"/>
          <w:szCs w:val="20"/>
          <w:shd w:val="clear" w:color="auto" w:fill="ffffff"/>
          <w:lang w:val="vi-VN"/>
        </w:rPr>
        <w:t xml:space="preserve">.000-10.000 đồng/kg.</w:t>
      </w:r>
      <w:r>
        <w:rPr>
          <w:rStyle w:val="2076"/>
          <w:sz w:val="20"/>
          <w:szCs w:val="20"/>
          <w:shd w:val="clear" w:color="auto" w:fill="ffffff"/>
        </w:rPr>
        <w:t xml:space="preserve"> G</w:t>
      </w:r>
      <w:r>
        <w:rPr>
          <w:rStyle w:val="2076"/>
          <w:sz w:val="20"/>
          <w:szCs w:val="20"/>
          <w:shd w:val="clear" w:color="auto" w:fill="ffffff"/>
          <w:lang w:val="vi-VN"/>
        </w:rPr>
        <w:t xml:space="preserve">iá thanh long ruột đỏ </w:t>
      </w:r>
      <w:r>
        <w:rPr>
          <w:rStyle w:val="2076"/>
          <w:sz w:val="20"/>
          <w:szCs w:val="20"/>
          <w:shd w:val="clear" w:color="auto" w:fill="ffffff"/>
        </w:rPr>
        <w:t xml:space="preserve">giảm</w:t>
      </w:r>
      <w:r>
        <w:rPr>
          <w:rStyle w:val="2076"/>
          <w:sz w:val="20"/>
          <w:szCs w:val="20"/>
          <w:shd w:val="clear" w:color="auto" w:fill="ffffff"/>
          <w:lang w:val="vi-VN"/>
        </w:rPr>
        <w:t xml:space="preserve"> </w:t>
      </w:r>
      <w:r>
        <w:rPr>
          <w:rStyle w:val="2076"/>
          <w:sz w:val="20"/>
          <w:szCs w:val="20"/>
          <w:shd w:val="clear" w:color="auto" w:fill="ffffff"/>
        </w:rPr>
        <w:t xml:space="preserve">3</w:t>
      </w:r>
      <w:r>
        <w:rPr>
          <w:rStyle w:val="2076"/>
          <w:sz w:val="20"/>
          <w:szCs w:val="20"/>
          <w:shd w:val="clear" w:color="auto" w:fill="ffffff"/>
          <w:lang w:val="vi-VN"/>
        </w:rPr>
        <w:t xml:space="preserve">.000</w:t>
      </w:r>
      <w:r>
        <w:rPr>
          <w:rStyle w:val="2076"/>
          <w:sz w:val="20"/>
          <w:szCs w:val="20"/>
          <w:shd w:val="clear" w:color="auto" w:fill="ffffff"/>
        </w:rPr>
        <w:t xml:space="preserve">-5.000</w:t>
      </w:r>
      <w:r>
        <w:rPr>
          <w:rStyle w:val="2076"/>
          <w:sz w:val="20"/>
          <w:szCs w:val="20"/>
          <w:shd w:val="clear" w:color="auto" w:fill="ffffff"/>
          <w:lang w:val="vi-VN"/>
        </w:rPr>
        <w:t xml:space="preserve"> đồng/kg, cụ thể: loại 1: từ </w:t>
      </w:r>
      <w:r>
        <w:rPr>
          <w:rStyle w:val="2076"/>
          <w:sz w:val="20"/>
          <w:szCs w:val="20"/>
          <w:shd w:val="clear" w:color="auto" w:fill="ffffff"/>
        </w:rPr>
        <w:t xml:space="preserve">13</w:t>
      </w:r>
      <w:r>
        <w:rPr>
          <w:rStyle w:val="2076"/>
          <w:sz w:val="20"/>
          <w:szCs w:val="20"/>
          <w:shd w:val="clear" w:color="auto" w:fill="ffffff"/>
          <w:lang w:val="vi-VN"/>
        </w:rPr>
        <w:t xml:space="preserve">.000-15.000 đồng/kg, loại 2: từ </w:t>
      </w:r>
      <w:r>
        <w:rPr>
          <w:rStyle w:val="2076"/>
          <w:sz w:val="20"/>
          <w:szCs w:val="20"/>
          <w:shd w:val="clear" w:color="auto" w:fill="ffffff"/>
        </w:rPr>
        <w:t xml:space="preserve">7</w:t>
      </w:r>
      <w:r>
        <w:rPr>
          <w:rStyle w:val="2076"/>
          <w:sz w:val="20"/>
          <w:szCs w:val="20"/>
          <w:shd w:val="clear" w:color="auto" w:fill="ffffff"/>
          <w:lang w:val="vi-VN"/>
        </w:rPr>
        <w:t xml:space="preserve">.000-</w:t>
      </w:r>
      <w:r>
        <w:rPr>
          <w:rStyle w:val="2076"/>
          <w:sz w:val="20"/>
          <w:szCs w:val="20"/>
          <w:shd w:val="clear" w:color="auto" w:fill="ffffff"/>
        </w:rPr>
        <w:t xml:space="preserve">9</w:t>
      </w:r>
      <w:r>
        <w:rPr>
          <w:rStyle w:val="2076"/>
          <w:sz w:val="20"/>
          <w:szCs w:val="20"/>
          <w:shd w:val="clear" w:color="auto" w:fill="ffffff"/>
          <w:lang w:val="vi-VN"/>
        </w:rPr>
        <w:t xml:space="preserve">.000 đồng/kg, loại 3: từ </w:t>
      </w:r>
      <w:r>
        <w:rPr>
          <w:rStyle w:val="2076"/>
          <w:sz w:val="20"/>
          <w:szCs w:val="20"/>
          <w:shd w:val="clear" w:color="auto" w:fill="ffffff"/>
        </w:rPr>
        <w:t xml:space="preserve">3</w:t>
      </w:r>
      <w:r>
        <w:rPr>
          <w:rStyle w:val="2076"/>
          <w:sz w:val="20"/>
          <w:szCs w:val="20"/>
          <w:shd w:val="clear" w:color="auto" w:fill="ffffff"/>
          <w:lang w:val="vi-VN"/>
        </w:rPr>
        <w:t xml:space="preserve">.000-5.000 đồng/kg.</w:t>
      </w:r>
      <w:r>
        <w:rPr>
          <w:rStyle w:val="2076"/>
          <w:sz w:val="20"/>
          <w:szCs w:val="20"/>
          <w:shd w:val="clear" w:color="auto" w:fill="ffffff"/>
        </w:rPr>
        <w:t xml:space="preserve"> </w:t>
      </w:r>
      <w:r>
        <w:rPr>
          <w:spacing w:val="-2"/>
          <w:sz w:val="20"/>
          <w:szCs w:val="20"/>
        </w:rPr>
        <w:t xml:space="preserve">G</w:t>
      </w:r>
      <w:r>
        <w:rPr>
          <w:spacing w:val="-2"/>
          <w:sz w:val="20"/>
          <w:szCs w:val="20"/>
          <w:lang w:val="vi-VN"/>
        </w:rPr>
        <w:t xml:space="preserve">iá mít </w:t>
      </w:r>
      <w:r>
        <w:rPr>
          <w:spacing w:val="-2"/>
          <w:sz w:val="20"/>
          <w:szCs w:val="20"/>
        </w:rPr>
        <w:t xml:space="preserve">tăng</w:t>
      </w:r>
      <w:r>
        <w:rPr>
          <w:spacing w:val="-2"/>
          <w:sz w:val="20"/>
          <w:szCs w:val="20"/>
          <w:lang w:val="vi-VN"/>
        </w:rPr>
        <w:t xml:space="preserve"> </w:t>
      </w:r>
      <w:r>
        <w:rPr>
          <w:spacing w:val="-2"/>
          <w:sz w:val="20"/>
          <w:szCs w:val="20"/>
        </w:rPr>
        <w:t xml:space="preserve">8</w:t>
      </w:r>
      <w:r>
        <w:rPr>
          <w:spacing w:val="-2"/>
          <w:sz w:val="20"/>
          <w:szCs w:val="20"/>
          <w:lang w:val="vi-VN"/>
        </w:rPr>
        <w:t xml:space="preserve">.000</w:t>
      </w:r>
      <w:r>
        <w:rPr>
          <w:spacing w:val="-2"/>
          <w:sz w:val="20"/>
          <w:szCs w:val="20"/>
        </w:rPr>
        <w:t xml:space="preserve">-10.000 </w:t>
      </w:r>
      <w:r>
        <w:rPr>
          <w:spacing w:val="-2"/>
          <w:sz w:val="20"/>
          <w:szCs w:val="20"/>
          <w:lang w:val="vi-VN"/>
        </w:rPr>
        <w:t xml:space="preserve">đồng/kg so với tháng trước,</w:t>
      </w:r>
      <w:r>
        <w:rPr>
          <w:rStyle w:val="2076"/>
          <w:sz w:val="20"/>
          <w:szCs w:val="20"/>
          <w:shd w:val="clear" w:color="auto" w:fill="ffffff"/>
          <w:lang w:val="vi-VN"/>
        </w:rPr>
        <w:t xml:space="preserve"> cụ thể: giá mít loại 1 là </w:t>
      </w:r>
      <w:r>
        <w:rPr>
          <w:rStyle w:val="2076"/>
          <w:sz w:val="20"/>
          <w:szCs w:val="20"/>
          <w:shd w:val="clear" w:color="auto" w:fill="ffffff"/>
        </w:rPr>
        <w:t xml:space="preserve">14</w:t>
      </w:r>
      <w:r>
        <w:rPr>
          <w:rStyle w:val="2076"/>
          <w:sz w:val="20"/>
          <w:szCs w:val="20"/>
          <w:shd w:val="clear" w:color="auto" w:fill="ffffff"/>
          <w:lang w:val="vi-VN"/>
        </w:rPr>
        <w:t xml:space="preserve">.000-</w:t>
      </w:r>
      <w:r>
        <w:rPr>
          <w:rStyle w:val="2076"/>
          <w:sz w:val="20"/>
          <w:szCs w:val="20"/>
          <w:shd w:val="clear" w:color="auto" w:fill="ffffff"/>
        </w:rPr>
        <w:t xml:space="preserve">15</w:t>
      </w:r>
      <w:r>
        <w:rPr>
          <w:rStyle w:val="2076"/>
          <w:sz w:val="20"/>
          <w:szCs w:val="20"/>
          <w:shd w:val="clear" w:color="auto" w:fill="ffffff"/>
          <w:lang w:val="vi-VN"/>
        </w:rPr>
        <w:t xml:space="preserve">.000 đồng/kg, giá mít loại 2 từ </w:t>
      </w:r>
      <w:r>
        <w:rPr>
          <w:rStyle w:val="2076"/>
          <w:sz w:val="20"/>
          <w:szCs w:val="20"/>
          <w:shd w:val="clear" w:color="auto" w:fill="ffffff"/>
        </w:rPr>
        <w:t xml:space="preserve">6</w:t>
      </w:r>
      <w:r>
        <w:rPr>
          <w:rStyle w:val="2076"/>
          <w:sz w:val="20"/>
          <w:szCs w:val="20"/>
          <w:shd w:val="clear" w:color="auto" w:fill="ffffff"/>
          <w:lang w:val="vi-VN"/>
        </w:rPr>
        <w:t xml:space="preserve">.000-</w:t>
      </w:r>
      <w:r>
        <w:rPr>
          <w:rStyle w:val="2076"/>
          <w:sz w:val="20"/>
          <w:szCs w:val="20"/>
          <w:shd w:val="clear" w:color="auto" w:fill="ffffff"/>
        </w:rPr>
        <w:t xml:space="preserve">7</w:t>
      </w:r>
      <w:r>
        <w:rPr>
          <w:rStyle w:val="2076"/>
          <w:sz w:val="20"/>
          <w:szCs w:val="20"/>
          <w:shd w:val="clear" w:color="auto" w:fill="ffffff"/>
          <w:lang w:val="vi-VN"/>
        </w:rPr>
        <w:t xml:space="preserve">.000 đồng/kg. </w:t>
      </w:r>
      <w:r>
        <w:rPr>
          <w:sz w:val="20"/>
          <w:szCs w:val="20"/>
          <w:shd w:val="clear" w:color="auto" w:fill="ffffff"/>
          <w:lang w:val="es-CR"/>
        </w:rPr>
        <w:t xml:space="preserve">G</w:t>
      </w:r>
      <w:r>
        <w:rPr>
          <w:rStyle w:val="2076"/>
          <w:sz w:val="20"/>
          <w:szCs w:val="20"/>
          <w:shd w:val="clear" w:color="auto" w:fill="ffffff"/>
          <w:lang w:val="vi-VN"/>
        </w:rPr>
        <w:t xml:space="preserve">iá sầu riêng thái</w:t>
      </w:r>
      <w:r>
        <w:rPr>
          <w:rStyle w:val="2076"/>
          <w:sz w:val="20"/>
          <w:szCs w:val="20"/>
          <w:shd w:val="clear" w:color="auto" w:fill="ffffff"/>
        </w:rPr>
        <w:t xml:space="preserve"> và </w:t>
      </w:r>
      <w:r>
        <w:rPr>
          <w:rStyle w:val="2076"/>
          <w:sz w:val="20"/>
          <w:szCs w:val="20"/>
          <w:shd w:val="clear" w:color="auto" w:fill="ffffff"/>
          <w:lang w:val="vi-VN"/>
        </w:rPr>
        <w:t xml:space="preserve">giá sầu riêng Ri 6</w:t>
      </w:r>
      <w:r>
        <w:rPr>
          <w:rStyle w:val="2076"/>
          <w:sz w:val="20"/>
          <w:szCs w:val="20"/>
          <w:shd w:val="clear" w:color="auto" w:fill="ffffff"/>
          <w:lang w:val="es-CR"/>
        </w:rPr>
        <w:t xml:space="preserve"> tương đương so với tháng trước</w:t>
      </w:r>
      <w:r>
        <w:rPr>
          <w:rStyle w:val="2076"/>
          <w:sz w:val="20"/>
          <w:szCs w:val="20"/>
          <w:shd w:val="clear" w:color="auto" w:fill="ffffff"/>
          <w:lang w:val="vi-VN"/>
        </w:rPr>
        <w:t xml:space="preserve">, cụ thể như sau: Sầu riêng Ri6: Loại 1</w:t>
      </w:r>
      <w:r>
        <w:rPr>
          <w:rStyle w:val="2076"/>
          <w:sz w:val="20"/>
          <w:szCs w:val="20"/>
          <w:shd w:val="clear" w:color="auto" w:fill="ffffff"/>
          <w:lang w:val="es-CR"/>
        </w:rPr>
        <w:t xml:space="preserve">:</w:t>
      </w:r>
      <w:r>
        <w:rPr>
          <w:rStyle w:val="2076"/>
          <w:sz w:val="20"/>
          <w:szCs w:val="20"/>
          <w:shd w:val="clear" w:color="auto" w:fill="ffffff"/>
          <w:lang w:val="vi-VN"/>
        </w:rPr>
        <w:t xml:space="preserve"> </w:t>
      </w:r>
      <w:r>
        <w:rPr>
          <w:rStyle w:val="2076"/>
          <w:sz w:val="20"/>
          <w:szCs w:val="20"/>
          <w:shd w:val="clear" w:color="auto" w:fill="ffffff"/>
          <w:lang w:val="es-CR"/>
        </w:rPr>
        <w:t xml:space="preserve">35</w:t>
      </w:r>
      <w:r>
        <w:rPr>
          <w:rStyle w:val="2076"/>
          <w:sz w:val="20"/>
          <w:szCs w:val="20"/>
          <w:shd w:val="clear" w:color="auto" w:fill="ffffff"/>
          <w:lang w:val="vi-VN"/>
        </w:rPr>
        <w:t xml:space="preserve">.000-4</w:t>
      </w:r>
      <w:r>
        <w:rPr>
          <w:rStyle w:val="2076"/>
          <w:sz w:val="20"/>
          <w:szCs w:val="20"/>
          <w:shd w:val="clear" w:color="auto" w:fill="ffffff"/>
          <w:lang w:val="es-CR"/>
        </w:rPr>
        <w:t xml:space="preserve">0</w:t>
      </w:r>
      <w:r>
        <w:rPr>
          <w:rStyle w:val="2076"/>
          <w:sz w:val="20"/>
          <w:szCs w:val="20"/>
          <w:shd w:val="clear" w:color="auto" w:fill="ffffff"/>
          <w:lang w:val="vi-VN"/>
        </w:rPr>
        <w:t xml:space="preserve">.000</w:t>
      </w:r>
      <w:r>
        <w:rPr>
          <w:rStyle w:val="2076"/>
          <w:sz w:val="20"/>
          <w:szCs w:val="20"/>
          <w:shd w:val="clear" w:color="auto" w:fill="ffffff"/>
          <w:lang w:val="es-CR"/>
        </w:rPr>
        <w:t xml:space="preserve"> </w:t>
      </w:r>
      <w:r>
        <w:rPr>
          <w:rStyle w:val="2076"/>
          <w:sz w:val="20"/>
          <w:szCs w:val="20"/>
          <w:shd w:val="clear" w:color="auto" w:fill="ffffff"/>
          <w:lang w:val="vi-VN"/>
        </w:rPr>
        <w:t xml:space="preserve">đồng/kg, Loại 2: </w:t>
      </w:r>
      <w:r>
        <w:rPr>
          <w:rStyle w:val="2076"/>
          <w:sz w:val="20"/>
          <w:szCs w:val="20"/>
          <w:shd w:val="clear" w:color="auto" w:fill="ffffff"/>
          <w:lang w:val="es-CR"/>
        </w:rPr>
        <w:t xml:space="preserve">25</w:t>
      </w:r>
      <w:r>
        <w:rPr>
          <w:rStyle w:val="2076"/>
          <w:sz w:val="20"/>
          <w:szCs w:val="20"/>
          <w:shd w:val="clear" w:color="auto" w:fill="ffffff"/>
          <w:lang w:val="vi-VN"/>
        </w:rPr>
        <w:t xml:space="preserve">.000-3</w:t>
      </w:r>
      <w:r>
        <w:rPr>
          <w:rStyle w:val="2076"/>
          <w:sz w:val="20"/>
          <w:szCs w:val="20"/>
          <w:shd w:val="clear" w:color="auto" w:fill="ffffff"/>
          <w:lang w:val="es-CR"/>
        </w:rPr>
        <w:t xml:space="preserve">0</w:t>
      </w:r>
      <w:r>
        <w:rPr>
          <w:rStyle w:val="2076"/>
          <w:sz w:val="20"/>
          <w:szCs w:val="20"/>
          <w:shd w:val="clear" w:color="auto" w:fill="ffffff"/>
          <w:lang w:val="vi-VN"/>
        </w:rPr>
        <w:t xml:space="preserve">.000</w:t>
      </w:r>
      <w:r>
        <w:rPr>
          <w:rStyle w:val="2076"/>
          <w:sz w:val="20"/>
          <w:szCs w:val="20"/>
          <w:shd w:val="clear" w:color="auto" w:fill="ffffff"/>
        </w:rPr>
        <w:t xml:space="preserve"> </w:t>
      </w:r>
      <w:r>
        <w:rPr>
          <w:rStyle w:val="2076"/>
          <w:sz w:val="20"/>
          <w:szCs w:val="20"/>
          <w:shd w:val="clear" w:color="auto" w:fill="ffffff"/>
          <w:lang w:val="vi-VN"/>
        </w:rPr>
        <w:t xml:space="preserve">đồng/kg. Sầu riêng Thái: Loại 1: 60.000-70.000 đồng/kg, Loại 2: 45.000-55.000 đồng/kg.</w:t>
      </w:r>
      <w:r>
        <w:rPr>
          <w:sz w:val="20"/>
          <w:szCs w:val="20"/>
          <w:shd w:val="clear" w:color="auto" w:fill="ffffff"/>
          <w:lang w:val="vi-VN"/>
        </w:rPr>
        <w:t xml:space="preserve"> </w:t>
      </w:r>
      <w:r>
        <w:rPr>
          <w:sz w:val="20"/>
          <w:szCs w:val="20"/>
          <w:shd w:val="clear" w:color="auto" w:fill="ffffff"/>
          <w:lang w:val="vi-VN"/>
        </w:rPr>
      </w:r>
      <w:r>
        <w:rPr>
          <w:sz w:val="20"/>
          <w:szCs w:val="20"/>
          <w:shd w:val="clear" w:color="auto" w:fill="ffffff"/>
          <w:lang w:val="vi-VN"/>
        </w:rPr>
      </w:r>
    </w:p>
    <w:p>
      <w:pPr>
        <w:pBdr>
          <w:bottom w:val="none" w:color="000000" w:sz="0" w:space="11"/>
        </w:pBdr>
        <w:spacing/>
        <w:ind/>
        <w:jc w:val="both"/>
        <w:rPr>
          <w:sz w:val="20"/>
          <w:szCs w:val="20"/>
          <w:lang w:val="it-IT"/>
        </w:rPr>
      </w:pPr>
      <w:r>
        <w:rPr>
          <w:sz w:val="20"/>
          <w:szCs w:val="20"/>
          <w:shd w:val="clear" w:color="auto" w:fill="ffffff"/>
        </w:rPr>
        <w:t xml:space="preserve">- </w:t>
      </w:r>
      <w:r>
        <w:rPr>
          <w:sz w:val="20"/>
          <w:szCs w:val="20"/>
          <w:lang w:val="da-DK"/>
        </w:rPr>
        <w:t xml:space="preserve">Giá sản phẩm chăn nuôi dao động nhẹ so với tháng trước. </w:t>
      </w:r>
      <w:r>
        <w:rPr>
          <w:sz w:val="20"/>
          <w:szCs w:val="20"/>
          <w:lang w:val="it-IT"/>
        </w:rPr>
        <w:t xml:space="preserve">Cụ thể</w:t>
      </w:r>
      <w:r>
        <w:rPr>
          <w:sz w:val="20"/>
          <w:szCs w:val="20"/>
        </w:rPr>
        <w:t xml:space="preserve">: </w:t>
      </w:r>
      <w:r>
        <w:rPr>
          <w:sz w:val="20"/>
          <w:szCs w:val="20"/>
          <w:lang w:val="it-IT"/>
        </w:rPr>
        <w:t xml:space="preserve">Giá heo hơi dao động 6,1 – </w:t>
      </w:r>
      <w:r>
        <w:rPr>
          <w:sz w:val="20"/>
          <w:szCs w:val="20"/>
          <w:lang w:val="sv-SE"/>
        </w:rPr>
        <w:t xml:space="preserve">6,7</w:t>
      </w:r>
      <w:r>
        <w:rPr>
          <w:sz w:val="20"/>
          <w:szCs w:val="20"/>
          <w:lang w:val="it-IT"/>
        </w:rPr>
        <w:t xml:space="preserve"> triệu đồng/tạ (giảm </w:t>
      </w:r>
      <w:r>
        <w:rPr>
          <w:sz w:val="20"/>
          <w:szCs w:val="20"/>
        </w:rPr>
        <w:t xml:space="preserve">5.</w:t>
      </w:r>
      <w:r>
        <w:rPr>
          <w:sz w:val="20"/>
          <w:szCs w:val="20"/>
          <w:lang w:val="it-IT"/>
        </w:rPr>
        <w:t xml:space="preserve">000</w:t>
      </w:r>
      <w:r>
        <w:rPr>
          <w:sz w:val="20"/>
          <w:szCs w:val="20"/>
        </w:rPr>
        <w:t xml:space="preserve">-7.000</w:t>
      </w:r>
      <w:r>
        <w:rPr>
          <w:sz w:val="20"/>
          <w:szCs w:val="20"/>
          <w:lang w:val="it-IT"/>
        </w:rPr>
        <w:t xml:space="preserve"> đồng /kg)</w:t>
      </w:r>
      <w:r>
        <w:rPr>
          <w:sz w:val="20"/>
          <w:szCs w:val="20"/>
        </w:rPr>
        <w:t xml:space="preserve">; </w:t>
      </w:r>
      <w:r>
        <w:rPr>
          <w:sz w:val="20"/>
          <w:szCs w:val="20"/>
          <w:lang w:val="it-IT"/>
        </w:rPr>
        <w:t xml:space="preserve">Giá bò thịt hơi 68.000 – 70.000 đồng/kg</w:t>
      </w:r>
      <w:r>
        <w:rPr>
          <w:sz w:val="20"/>
          <w:szCs w:val="20"/>
        </w:rPr>
        <w:t xml:space="preserve">. G</w:t>
      </w:r>
      <w:r>
        <w:rPr>
          <w:sz w:val="20"/>
          <w:szCs w:val="20"/>
          <w:lang w:val="it-IT"/>
        </w:rPr>
        <w:t xml:space="preserve">iá vịt hơi siêu nạc dao động 4</w:t>
      </w:r>
      <w:r>
        <w:rPr>
          <w:sz w:val="20"/>
          <w:szCs w:val="20"/>
        </w:rPr>
        <w:t xml:space="preserve">8</w:t>
      </w:r>
      <w:r>
        <w:rPr>
          <w:sz w:val="20"/>
          <w:szCs w:val="20"/>
          <w:lang w:val="it-IT"/>
        </w:rPr>
        <w:t xml:space="preserve">.000-52.000</w:t>
      </w:r>
      <w:r>
        <w:rPr>
          <w:sz w:val="20"/>
          <w:szCs w:val="20"/>
          <w:lang w:val="vi-VN"/>
        </w:rPr>
        <w:t xml:space="preserve"> </w:t>
      </w:r>
      <w:r>
        <w:rPr>
          <w:sz w:val="20"/>
          <w:szCs w:val="20"/>
          <w:lang w:val="it-IT"/>
        </w:rPr>
        <w:t xml:space="preserve">đồng/kg (</w:t>
      </w:r>
      <w:r>
        <w:rPr>
          <w:sz w:val="20"/>
          <w:szCs w:val="20"/>
        </w:rPr>
        <w:t xml:space="preserve">tăng 4.000-5.000 đồng/kg</w:t>
      </w:r>
      <w:r>
        <w:rPr>
          <w:sz w:val="20"/>
          <w:szCs w:val="20"/>
          <w:lang w:val="it-IT"/>
        </w:rPr>
        <w:t xml:space="preserve">); </w:t>
      </w:r>
      <w:r>
        <w:rPr>
          <w:sz w:val="20"/>
          <w:szCs w:val="20"/>
        </w:rPr>
        <w:t xml:space="preserve">G</w:t>
      </w:r>
      <w:r>
        <w:rPr>
          <w:sz w:val="20"/>
          <w:szCs w:val="20"/>
          <w:lang w:val="it-IT"/>
        </w:rPr>
        <w:t xml:space="preserve">iá gà thịt lông màu 58.000-6</w:t>
      </w:r>
      <w:r>
        <w:rPr>
          <w:sz w:val="20"/>
          <w:szCs w:val="20"/>
        </w:rPr>
        <w:t xml:space="preserve">1</w:t>
      </w:r>
      <w:r>
        <w:rPr>
          <w:sz w:val="20"/>
          <w:szCs w:val="20"/>
          <w:lang w:val="it-IT"/>
        </w:rPr>
        <w:t xml:space="preserve">.000 đồng/kg</w:t>
      </w:r>
      <w:r>
        <w:rPr>
          <w:sz w:val="20"/>
          <w:szCs w:val="20"/>
        </w:rPr>
        <w:t xml:space="preserve"> (giảm 1.000-2.000 đồng/kg)</w:t>
      </w:r>
      <w:r>
        <w:rPr>
          <w:sz w:val="20"/>
          <w:szCs w:val="20"/>
          <w:lang w:val="it-IT"/>
        </w:rPr>
        <w:t xml:space="preserve">; gà thịt Bình Định 51.000-5</w:t>
      </w:r>
      <w:r>
        <w:rPr>
          <w:sz w:val="20"/>
          <w:szCs w:val="20"/>
        </w:rPr>
        <w:t xml:space="preserve">5</w:t>
      </w:r>
      <w:r>
        <w:rPr>
          <w:sz w:val="20"/>
          <w:szCs w:val="20"/>
          <w:lang w:val="it-IT"/>
        </w:rPr>
        <w:t xml:space="preserve">.000 đồng/kg</w:t>
      </w:r>
      <w:r>
        <w:rPr>
          <w:sz w:val="20"/>
          <w:szCs w:val="20"/>
        </w:rPr>
        <w:t xml:space="preserve">; </w:t>
      </w:r>
      <w:r>
        <w:rPr>
          <w:sz w:val="20"/>
          <w:szCs w:val="20"/>
          <w:lang w:val="it-IT"/>
        </w:rPr>
        <w:t xml:space="preserve">gà ta (gà thả vườn): </w:t>
      </w:r>
      <w:r>
        <w:rPr>
          <w:sz w:val="20"/>
          <w:szCs w:val="20"/>
        </w:rPr>
        <w:t xml:space="preserve">68</w:t>
      </w:r>
      <w:r>
        <w:rPr>
          <w:sz w:val="20"/>
          <w:szCs w:val="20"/>
          <w:lang w:val="it-IT"/>
        </w:rPr>
        <w:t xml:space="preserve">.000-</w:t>
      </w:r>
      <w:r>
        <w:rPr>
          <w:sz w:val="20"/>
          <w:szCs w:val="20"/>
        </w:rPr>
        <w:t xml:space="preserve">72</w:t>
      </w:r>
      <w:r>
        <w:rPr>
          <w:sz w:val="20"/>
          <w:szCs w:val="20"/>
          <w:lang w:val="it-IT"/>
        </w:rPr>
        <w:t xml:space="preserve">.000 đồng/kg </w:t>
      </w:r>
      <w:r>
        <w:rPr>
          <w:rFonts w:eastAsia="Calibri"/>
          <w:bCs/>
          <w:sz w:val="20"/>
          <w:szCs w:val="20"/>
          <w:lang w:val="en"/>
        </w:rPr>
        <w:t xml:space="preserve">(tương đương)</w:t>
      </w:r>
      <w:r>
        <w:rPr>
          <w:sz w:val="20"/>
          <w:szCs w:val="20"/>
        </w:rPr>
        <w:t xml:space="preserve">, </w:t>
      </w:r>
      <w:r>
        <w:rPr>
          <w:sz w:val="20"/>
          <w:szCs w:val="20"/>
          <w:lang w:val="it-IT"/>
        </w:rPr>
        <w:t xml:space="preserve">Trứng gà dao động từ 2.250-2.500 đồng/quả (tăng 200-600 đồng/quả). Trứng vịt thương phẩm dao động từ 3.000-3.500 đồng/quả (tương đương).</w:t>
      </w:r>
      <w:r>
        <w:rPr>
          <w:sz w:val="20"/>
          <w:szCs w:val="20"/>
          <w:lang w:val="it-IT"/>
        </w:rPr>
      </w:r>
      <w:r>
        <w:rPr>
          <w:sz w:val="20"/>
          <w:szCs w:val="20"/>
          <w:lang w:val="it-IT"/>
        </w:rPr>
      </w:r>
    </w:p>
    <w:p>
      <w:pPr>
        <w:pBdr>
          <w:bottom w:val="none" w:color="000000" w:sz="0" w:space="11"/>
        </w:pBdr>
        <w:spacing/>
        <w:ind/>
        <w:jc w:val="both"/>
        <w:rPr>
          <w:sz w:val="20"/>
          <w:szCs w:val="20"/>
          <w:lang w:val="it-IT"/>
        </w:rPr>
      </w:pPr>
      <w:r>
        <w:rPr>
          <w:sz w:val="20"/>
          <w:szCs w:val="20"/>
          <w:lang w:val="it-IT"/>
        </w:rPr>
        <w:t xml:space="preserve">- Tình hình tiêu thụ thủy sản: Tôm thẻ: Cỡ 90-100 con/kg dao động 75.000-85.000 đồ</w:t>
      </w:r>
      <w:r>
        <w:rPr>
          <w:sz w:val="20"/>
          <w:szCs w:val="20"/>
          <w:lang w:val="it-IT"/>
        </w:rPr>
        <w:t xml:space="preserve">ng/kg (giảm khoảng 10.000 đồng/kg so tháng trước); cỡ 60-80 con/kg dao động 90.000-100.000 đồng/kg (giảm khoảng 20.000 đồng/kg); cỡ 30-40 con/kg dao động 140.000-150.000 đồng/kg (giảm khoảng 5.000 đồng/kg). Tôm sú: Cỡ 50 con/kg trở lên dao động khoảng 125.</w:t>
      </w:r>
      <w:r>
        <w:rPr>
          <w:sz w:val="20"/>
          <w:szCs w:val="20"/>
          <w:lang w:val="it-IT"/>
        </w:rPr>
        <w:t xml:space="preserve">000-155.000 đồng kg (ổn định); cỡ 30-40 con/kg dao động khoảng 180.000-220.000 đồng/kg (ổn định). Cá tra giống: Cỡ 30-70 con/kg dao động 30.000-44.000 đồng/kg (ổn định). Cá tra thương phẩm: Giá cá dao động 27.000-28.000 đồng/kg (giảm khoảng 4.000 đồng/kg).</w:t>
      </w:r>
      <w:r>
        <w:rPr>
          <w:sz w:val="20"/>
          <w:szCs w:val="20"/>
          <w:lang w:val="it-IT"/>
        </w:rPr>
      </w:r>
      <w:r>
        <w:rPr>
          <w:sz w:val="20"/>
          <w:szCs w:val="20"/>
          <w:lang w:val="it-IT"/>
        </w:rPr>
      </w:r>
    </w:p>
  </w:footnote>
  <w:footnote w:id="7">
    <w:p>
      <w:pPr>
        <w:pBdr>
          <w:bottom w:val="none" w:color="000000" w:sz="0" w:space="11"/>
        </w:pBdr>
        <w:spacing/>
        <w:ind/>
        <w:jc w:val="both"/>
        <w:rPr>
          <w:sz w:val="20"/>
          <w:szCs w:val="20"/>
          <w:lang w:val="it-IT"/>
        </w:rPr>
      </w:pPr>
      <w:r>
        <w:rPr>
          <w:sz w:val="20"/>
          <w:szCs w:val="20"/>
          <w:vertAlign w:val="superscript"/>
          <w:lang w:val="it-IT"/>
        </w:rPr>
        <w:footnoteRef/>
      </w:r>
      <w:r>
        <w:rPr>
          <w:sz w:val="20"/>
          <w:szCs w:val="20"/>
          <w:lang w:val="it-IT"/>
        </w:rPr>
        <w:t xml:space="preserve"> Trong tháng, tổng diện tích thả nuôi thủy sản là 1.420,5 ha; thu hoạch được 993</w:t>
      </w:r>
      <w:r>
        <w:rPr>
          <w:sz w:val="20"/>
          <w:szCs w:val="20"/>
          <w:lang w:val="it-IT"/>
        </w:rPr>
        <w:t xml:space="preserve">,3 ha với sản lượng 35.791,7 tấn. Lũy kế đến nay, tổng diện tích nuôi thủy sản thương phẩm là 7.940 ha, đạt 83,5% kế hoạch, tăng 11,8%; nuôi lồng/vèo 17.500 m3, tăng 3%; tổng diện tích thu hoạch được 5.877 ha với sản lượng 129.408 tấn, đạt 72,2%, tăng 27%.</w:t>
      </w:r>
      <w:r>
        <w:rPr>
          <w:sz w:val="20"/>
          <w:szCs w:val="20"/>
          <w:lang w:val="it-IT"/>
        </w:rPr>
      </w:r>
      <w:r>
        <w:rPr>
          <w:sz w:val="20"/>
          <w:szCs w:val="20"/>
          <w:lang w:val="it-IT"/>
        </w:rPr>
      </w:r>
    </w:p>
    <w:p>
      <w:pPr>
        <w:pBdr>
          <w:bottom w:val="none" w:color="000000" w:sz="0" w:space="11"/>
        </w:pBdr>
        <w:spacing/>
        <w:ind/>
        <w:jc w:val="both"/>
        <w:rPr>
          <w:sz w:val="20"/>
          <w:szCs w:val="20"/>
          <w:lang w:val="it-IT"/>
        </w:rPr>
      </w:pPr>
      <w:r>
        <w:rPr>
          <w:sz w:val="20"/>
          <w:szCs w:val="20"/>
          <w:lang w:val="it-IT"/>
        </w:rPr>
        <w:t xml:space="preserve">a)  Nuôi tôm: Trong tháng, diện tích thả nuôi tôm là 760 ha; thu hoạch được 328 ha với sản lượng 942 tấn. Lũy kế diện tích nuôi là 5.200 ha, đạt 85,2% kế hoạch , tăng 6,4</w:t>
      </w:r>
      <w:r>
        <w:rPr>
          <w:sz w:val="20"/>
          <w:szCs w:val="20"/>
          <w:lang w:val="it-IT"/>
        </w:rPr>
        <w:t xml:space="preserve">%; thu hoạch 3.850 ha; năng suất bình quân 3,9 tấn/ha với tổng sản lượng 14.920 tấn, đạt 58% kế hoạch, tăng 5%. Trong đó: Tôm sú: Diện tích nuôi 450 ha, tăng 18,4%, đã thu hoạch 350 ha với sản lượng 930 tấn, tăng 6,9%, năng suất 2,7 tấn/ha; tôm thẻ chân tr</w:t>
      </w:r>
      <w:r>
        <w:rPr>
          <w:sz w:val="20"/>
          <w:szCs w:val="20"/>
          <w:lang w:val="it-IT"/>
        </w:rPr>
        <w:t xml:space="preserve">ắng: diện tích nuôi 4.750 ha, tăng  5,4%; đã thu hoạch 3.500 ha, sản lượng 13.990 tấn, tăng 4,9%, năng suất 4 tấn/ha (trong đó, diện tích nuôi tôm thẻ vùng Đồng Tháp Mười là 661 ha, thu hoạch 542 ha, năng suất bình quân 5,6 tấn/ha với sản lượng 3.050 tấn).</w:t>
      </w:r>
      <w:r>
        <w:rPr>
          <w:sz w:val="20"/>
          <w:szCs w:val="20"/>
          <w:lang w:val="it-IT"/>
        </w:rPr>
      </w:r>
      <w:r>
        <w:rPr>
          <w:sz w:val="20"/>
          <w:szCs w:val="20"/>
          <w:lang w:val="it-IT"/>
        </w:rPr>
      </w:r>
    </w:p>
    <w:p>
      <w:pPr>
        <w:pBdr>
          <w:bottom w:val="none" w:color="000000" w:sz="0" w:space="11"/>
        </w:pBdr>
        <w:spacing/>
        <w:ind/>
        <w:jc w:val="both"/>
        <w:rPr>
          <w:sz w:val="20"/>
          <w:szCs w:val="20"/>
          <w:lang w:val="it-IT"/>
        </w:rPr>
      </w:pPr>
      <w:r>
        <w:rPr>
          <w:sz w:val="20"/>
          <w:szCs w:val="20"/>
          <w:lang w:val="it-IT"/>
        </w:rPr>
        <w:t xml:space="preserve">- Thiệt hại trên tôm: Từ đầu năm đến nay, tổng diện tích dịch bệnh là 1,35 ha, chiếm 0,03% diện tích thả nuôi, dịch bệnh tập trung tại xã Thuận Mỹ. Nguyên nhân gây dịch bệnh chủ yếu do bệnh đốm trắng gây ra.</w:t>
      </w:r>
      <w:r>
        <w:rPr>
          <w:sz w:val="20"/>
          <w:szCs w:val="20"/>
          <w:lang w:val="it-IT"/>
        </w:rPr>
      </w:r>
      <w:r>
        <w:rPr>
          <w:sz w:val="20"/>
          <w:szCs w:val="20"/>
          <w:lang w:val="it-IT"/>
        </w:rPr>
      </w:r>
    </w:p>
    <w:p>
      <w:pPr>
        <w:pBdr>
          <w:bottom w:val="none" w:color="000000" w:sz="0" w:space="11"/>
        </w:pBdr>
        <w:spacing/>
        <w:ind/>
        <w:jc w:val="both"/>
        <w:rPr>
          <w:sz w:val="20"/>
          <w:szCs w:val="20"/>
          <w:lang w:val="it-IT"/>
        </w:rPr>
      </w:pPr>
      <w:r>
        <w:rPr>
          <w:sz w:val="20"/>
          <w:szCs w:val="20"/>
          <w:lang w:val="it-IT"/>
        </w:rPr>
        <w:t xml:space="preserve">b) Nuôi cá ao: Trong tháng, diện tích thả nuôi cá ao 650 ha; thu hoạch được 651 ha với sản lượng 34.829 tấn</w:t>
      </w:r>
      <w:r>
        <w:rPr>
          <w:sz w:val="20"/>
          <w:szCs w:val="20"/>
          <w:lang w:val="it-IT"/>
        </w:rPr>
        <w:t xml:space="preserve">. Lũy kế diện tích nuôi là 2.640 ha, đạt 80,9% kế hoạch, tăng 24,2%; thu hoạch 1.949 ha với sản lượng 109.155 tấn, đạt 76,4% kế hoạch, tăng 26% so với cùng kỳ. Trong đó: Cá tra thương phẩm: diện tích nuôi là 840 ha bằng tăng 12,3% so với cùng kỳ, thu hoạch</w:t>
      </w:r>
      <w:r>
        <w:rPr>
          <w:rFonts w:ascii="Segoe UI" w:hAnsi="Segoe UI" w:cs="Segoe UI"/>
          <w:spacing w:val="3"/>
          <w:sz w:val="23"/>
          <w:szCs w:val="23"/>
          <w:shd w:val="clear" w:color="auto" w:fill="ffffff"/>
        </w:rPr>
        <w:t xml:space="preserve"> </w:t>
      </w:r>
      <w:r>
        <w:rPr>
          <w:sz w:val="20"/>
          <w:szCs w:val="20"/>
          <w:lang w:val="it-IT"/>
        </w:rPr>
        <w:t xml:space="preserve">549 ha, năng suất bình quân 172 tấn/ha, sản lượng 94.155 tấn, tăng 25% và một số loài cá khác: diện tích nuôi 1.800 ha, thu hoạch 1400 ha, năng suất bình quân 10,7 tấn/ha với sản lượng 15.000 tấn, bằng 131% so với cùng kỳ.</w:t>
      </w:r>
      <w:r>
        <w:rPr>
          <w:sz w:val="20"/>
          <w:szCs w:val="20"/>
          <w:lang w:val="it-IT"/>
        </w:rPr>
      </w:r>
      <w:r>
        <w:rPr>
          <w:sz w:val="20"/>
          <w:szCs w:val="20"/>
          <w:lang w:val="it-IT"/>
        </w:rPr>
      </w:r>
    </w:p>
    <w:p>
      <w:pPr>
        <w:pBdr>
          <w:bottom w:val="none" w:color="000000" w:sz="0" w:space="11"/>
        </w:pBdr>
        <w:spacing/>
        <w:ind/>
        <w:jc w:val="both"/>
        <w:rPr>
          <w:rFonts w:eastAsia="Calibri"/>
          <w:sz w:val="20"/>
          <w:szCs w:val="20"/>
          <w:lang w:val="it-IT"/>
        </w:rPr>
      </w:pPr>
      <w:r>
        <w:rPr>
          <w:sz w:val="20"/>
          <w:szCs w:val="20"/>
        </w:rPr>
        <w:t xml:space="preserve">c) </w:t>
      </w:r>
      <w:r>
        <w:rPr>
          <w:i/>
          <w:sz w:val="20"/>
          <w:szCs w:val="20"/>
        </w:rPr>
        <w:t xml:space="preserve">Nuôi thủy sản khác (cua, ếch, lươn…):</w:t>
      </w:r>
      <w:r>
        <w:rPr>
          <w:sz w:val="20"/>
          <w:szCs w:val="20"/>
        </w:rPr>
        <w:t xml:space="preserve"> </w:t>
      </w:r>
      <w:r>
        <w:rPr>
          <w:rFonts w:eastAsia="Calibri"/>
          <w:bCs/>
          <w:sz w:val="20"/>
          <w:szCs w:val="20"/>
        </w:rPr>
        <w:t xml:space="preserve">Trong tháng, diện tích thả nuôi thủy sản khác 10,5 ha; thu hoạch 14,3 ha với sản lượng 20,7 tấn. </w:t>
      </w:r>
      <w:r>
        <w:rPr>
          <w:rFonts w:eastAsia="Calibri"/>
          <w:bCs/>
          <w:sz w:val="20"/>
          <w:szCs w:val="20"/>
          <w:lang w:val="it-IT"/>
        </w:rPr>
        <w:t xml:space="preserve">Lũy kế diện tích nuôi là 100 ha, đạt 70% kế hoạch, tăng 12%, thu hoạch 77,5 ha, năng suất bình quân 76 tấn/ha với sản lượng 5.333 tấn; đạt 97% so với kế hoạch, tăng 52%</w:t>
      </w:r>
      <w:r>
        <w:rPr>
          <w:rFonts w:eastAsia="Calibri"/>
          <w:sz w:val="20"/>
          <w:szCs w:val="20"/>
          <w:lang w:val="it-IT"/>
        </w:rPr>
        <w:t xml:space="preserve">.</w:t>
      </w:r>
      <w:r>
        <w:rPr>
          <w:rFonts w:eastAsia="Calibri"/>
          <w:sz w:val="20"/>
          <w:szCs w:val="20"/>
          <w:lang w:val="it-IT"/>
        </w:rPr>
      </w:r>
      <w:r>
        <w:rPr>
          <w:rFonts w:eastAsia="Calibri"/>
          <w:sz w:val="20"/>
          <w:szCs w:val="20"/>
          <w:lang w:val="it-IT"/>
        </w:rPr>
      </w:r>
    </w:p>
    <w:p>
      <w:pPr>
        <w:pBdr>
          <w:bottom w:val="none" w:color="000000" w:sz="0" w:space="11"/>
        </w:pBdr>
        <w:spacing/>
        <w:ind/>
        <w:jc w:val="both"/>
        <w:rPr>
          <w:rFonts w:eastAsia="Calibri"/>
          <w:sz w:val="20"/>
          <w:szCs w:val="20"/>
          <w:lang w:val="it-IT"/>
        </w:rPr>
      </w:pPr>
      <w:r>
        <w:rPr>
          <w:rFonts w:eastAsia="Calibri"/>
          <w:sz w:val="20"/>
          <w:szCs w:val="20"/>
          <w:lang w:val="it-IT"/>
        </w:rPr>
        <w:t xml:space="preserve">d) Ương cá tra giống: </w:t>
      </w:r>
      <w:r>
        <w:rPr>
          <w:rFonts w:eastAsia="Calibri"/>
          <w:bCs/>
          <w:sz w:val="20"/>
          <w:szCs w:val="20"/>
          <w:lang w:val="sv-SE"/>
        </w:rPr>
        <w:t xml:space="preserve">Lũy kế diện tích ương là </w:t>
      </w:r>
      <w:r>
        <w:rPr>
          <w:rFonts w:eastAsia="Calibri"/>
          <w:bCs/>
          <w:sz w:val="20"/>
          <w:szCs w:val="20"/>
          <w:lang w:val="it-IT"/>
        </w:rPr>
        <w:t xml:space="preserve">480 ha, thu hoạch 370 ha, năng suất bình quân 0,25 triệu con/ha, sản lượng 92 triệu con (trong đó, cá tra giống 65 triệu con, các khác 27 triệu con)</w:t>
      </w:r>
      <w:r>
        <w:rPr>
          <w:rFonts w:eastAsia="Calibri"/>
          <w:sz w:val="20"/>
          <w:szCs w:val="20"/>
          <w:lang w:val="it-IT"/>
        </w:rPr>
        <w:t xml:space="preserve">.</w:t>
      </w:r>
      <w:r>
        <w:rPr>
          <w:rFonts w:eastAsia="Calibri"/>
          <w:sz w:val="20"/>
          <w:szCs w:val="20"/>
          <w:lang w:val="it-IT"/>
        </w:rPr>
      </w:r>
      <w:r>
        <w:rPr>
          <w:rFonts w:eastAsia="Calibri"/>
          <w:sz w:val="20"/>
          <w:szCs w:val="20"/>
          <w:lang w:val="it-IT"/>
        </w:rPr>
      </w:r>
    </w:p>
  </w:footnote>
  <w:footnote w:id="8">
    <w:p>
      <w:pPr>
        <w:pStyle w:val="2064"/>
        <w:pBdr/>
        <w:spacing/>
        <w:ind/>
        <w:jc w:val="both"/>
        <w:rPr>
          <w:sz w:val="20"/>
          <w:szCs w:val="20"/>
        </w:rPr>
      </w:pPr>
      <w:r>
        <w:rPr>
          <w:rStyle w:val="2063"/>
        </w:rPr>
        <w:footnoteRef/>
      </w:r>
      <w:r>
        <w:t xml:space="preserve"> </w:t>
      </w:r>
      <w:r>
        <w:rPr>
          <w:sz w:val="20"/>
          <w:szCs w:val="20"/>
        </w:rPr>
        <w:t xml:space="preserve">Chương trình mục tiêu quốc gia xây dựng nông thôn mới 341,180 tỷ đồng, Chương trình mục tiêu quốc gia giảm nghèo bền vững 2,918 tỷ đồng, Chương trình phát triển kinh tế - xã hội vùng đồng bào dân tộc thiểu số và miền núi 8,498 tỷ đồng</w:t>
      </w:r>
      <w:r>
        <w:rPr>
          <w:sz w:val="20"/>
          <w:szCs w:val="20"/>
        </w:rPr>
        <w:t xml:space="preserve">.</w:t>
      </w:r>
      <w:r>
        <w:rPr>
          <w:sz w:val="20"/>
          <w:szCs w:val="20"/>
        </w:rPr>
      </w:r>
      <w:r>
        <w:rPr>
          <w:sz w:val="20"/>
          <w:szCs w:val="20"/>
        </w:rPr>
      </w:r>
    </w:p>
  </w:footnote>
  <w:footnote w:id="9">
    <w:p>
      <w:pPr>
        <w:pStyle w:val="2064"/>
        <w:pBdr/>
        <w:spacing w:after="0"/>
        <w:ind/>
        <w:jc w:val="both"/>
        <w:rPr>
          <w:sz w:val="20"/>
          <w:szCs w:val="20"/>
        </w:rPr>
      </w:pPr>
      <w:r>
        <w:rPr>
          <w:sz w:val="20"/>
          <w:szCs w:val="20"/>
          <w:vertAlign w:val="superscript"/>
        </w:rPr>
        <w:footnoteRef/>
      </w:r>
      <w:r>
        <w:rPr>
          <w:sz w:val="20"/>
          <w:szCs w:val="20"/>
          <w:vertAlign w:val="superscript"/>
        </w:rPr>
        <w:t xml:space="preserve"> </w:t>
      </w:r>
      <w:r>
        <w:rPr>
          <w:sz w:val="20"/>
          <w:szCs w:val="20"/>
        </w:rPr>
        <w:t xml:space="preserve">Tiếp và làm việc với Đoàn công tác Bộ Ngoại giao triển khai Đề án “Tăng cường hợp tác quốc tế để xây dựng và phát triển ngành Halah Việt Nam đến năm 2020” và chỉ đạo của Bộ Chính trị về t</w:t>
      </w:r>
      <w:r>
        <w:rPr>
          <w:sz w:val="20"/>
          <w:szCs w:val="20"/>
        </w:rPr>
        <w:t xml:space="preserve">iểu vùng Mê Công tại tỉnh Tây Ninh; Tiếp và làm việc với Tập đoàn Guangxin Hongkong Investment; Tiếp và làm việc với Tập đoàn Cobi Group. Tham gia các Hội nghị, Diễn đàn do Bộ, ngành, hiệp hội, tổ chức tổ chức, cụ thể Hội nghị gặp gỡ Nhật Bản và Đồng bằng </w:t>
      </w:r>
      <w:r>
        <w:rPr>
          <w:sz w:val="20"/>
          <w:szCs w:val="20"/>
        </w:rPr>
        <w:t xml:space="preserve">Sông Cửu Long; Diễn đàn kinh tế tư nhân năm 2025 – vòng đối thoại tỉnh Tây Ninh và vùng Nam Bộ, Chương trình xúc tiến thương mại - đầu tư du lịch tỉnh Tây Ninh; Lễ khởi công dự án Khu công nghiệp Thủ Thừa IDTT; Lễ khánh thành Khu đô thị T&amp;T City Millennia…</w:t>
      </w:r>
      <w:r>
        <w:rPr>
          <w:sz w:val="20"/>
          <w:szCs w:val="20"/>
        </w:rPr>
      </w:r>
      <w:r>
        <w:rPr>
          <w:sz w:val="20"/>
          <w:szCs w:val="20"/>
        </w:rPr>
      </w:r>
    </w:p>
    <w:p>
      <w:pPr>
        <w:pStyle w:val="2064"/>
        <w:pBdr/>
        <w:spacing w:after="0"/>
        <w:ind/>
        <w:jc w:val="both"/>
        <w:rPr>
          <w:sz w:val="20"/>
          <w:szCs w:val="20"/>
        </w:rPr>
      </w:pPr>
      <w:r>
        <w:rPr>
          <w:sz w:val="20"/>
          <w:szCs w:val="20"/>
        </w:rPr>
        <w:t xml:space="preserve">Về công tác xúc tiến đầu tư tại nước ngoài, trong tháng tỉnh đã tổ chức thành công 2 đoàn công tác bao gồm Đoàn xúc tiến đầu tư tỉnh Tây Ninh tại Nhật Bản từ ngày 05/8/2025 đến ngày 09/8/2</w:t>
      </w:r>
      <w:r>
        <w:rPr>
          <w:sz w:val="20"/>
          <w:szCs w:val="20"/>
        </w:rPr>
        <w:t xml:space="preserve">025; Đoàn công tác tỉnh Tây Ninh sang thăm, làm việc và kết nối quảng bá địa phương Việt Nam (VPR) tại Úc từ ngày 10/8/2025 đến ngày16/8/2025. Qua các chuyến công tác đã thu được nhiều kết quả tích cực, tăng cường việc giới thiệu môi trường đầu tư, kết nối</w:t>
      </w:r>
      <w:r>
        <w:rPr>
          <w:sz w:val="20"/>
          <w:szCs w:val="20"/>
        </w:rPr>
        <w:t xml:space="preserve"> hợp tác giữa chính quyền địa phương, doanh nghiệp của tỉnh với các địa phương, tổ chức, hiệp hội, doanh nghiệp nước ngoài; đồng thời nhiều bản ghi nhớ hợp tác đã được ký kết tạo nhiều cơ hội để thúc đẩy phát triển dự án tại tỉnh Tây Ninh trong tương lai. </w:t>
      </w:r>
      <w:r>
        <w:rPr>
          <w:sz w:val="20"/>
          <w:szCs w:val="20"/>
        </w:rPr>
      </w:r>
      <w:r>
        <w:rPr>
          <w:sz w:val="20"/>
          <w:szCs w:val="20"/>
        </w:rPr>
      </w:r>
    </w:p>
  </w:footnote>
  <w:footnote w:id="10">
    <w:p>
      <w:pPr>
        <w:pStyle w:val="2064"/>
        <w:pBdr/>
        <w:spacing w:after="0"/>
        <w:ind/>
        <w:jc w:val="both"/>
        <w:rPr>
          <w:sz w:val="20"/>
          <w:szCs w:val="20"/>
        </w:rPr>
      </w:pPr>
      <w:r>
        <w:rPr>
          <w:sz w:val="20"/>
          <w:szCs w:val="20"/>
          <w:vertAlign w:val="superscript"/>
        </w:rPr>
        <w:footnoteRef/>
      </w:r>
      <w:r>
        <w:rPr>
          <w:sz w:val="20"/>
          <w:szCs w:val="20"/>
          <w:vertAlign w:val="superscript"/>
        </w:rPr>
        <w:t xml:space="preserve"> </w:t>
      </w:r>
      <w:r>
        <w:rPr>
          <w:sz w:val="20"/>
          <w:szCs w:val="20"/>
        </w:rPr>
        <w:t xml:space="preserve">Lễ khởi công Dự án Khu đô thị mới Phước Vĩnh Tây do Liên danh Vinhomes – VIG làm chủ đầu tư; Lễ khởi công Dự án đầu tư xây dựng và kinh doanh kết cấu hạ tầng Khu c</w:t>
      </w:r>
      <w:r>
        <w:rPr>
          <w:sz w:val="20"/>
          <w:szCs w:val="20"/>
        </w:rPr>
        <w:t xml:space="preserve">ông nghiệp Bình Hoà Nam 1 do Công ty TNHH Hoàn Cầu Long An làm chủ đầu tư và Lễ khởi công dự án Xây dựng đường dẫn vào 03 cầu trên ĐT.827E do Ban Quản lý dự án và đầu tư xây dựng tỉnh làm chủ đầu tư. Tổng giá trị đầu tư của các dự án trên 96 nghìn tỷ đồng.</w:t>
      </w:r>
      <w:r>
        <w:rPr>
          <w:sz w:val="20"/>
          <w:szCs w:val="20"/>
        </w:rPr>
      </w:r>
      <w:r>
        <w:rPr>
          <w:sz w:val="20"/>
          <w:szCs w:val="20"/>
        </w:rPr>
      </w:r>
    </w:p>
  </w:footnote>
  <w:footnote w:id="11">
    <w:p>
      <w:pPr>
        <w:pStyle w:val="2064"/>
        <w:pBdr/>
        <w:spacing/>
        <w:ind/>
        <w:jc w:val="both"/>
        <w:rPr/>
      </w:pPr>
      <w:r>
        <w:rPr>
          <w:rStyle w:val="2063"/>
        </w:rPr>
        <w:footnoteRef/>
      </w:r>
      <w:r>
        <w:t xml:space="preserve"> Theo </w:t>
      </w:r>
      <w:r>
        <w:rPr>
          <w:shd w:val="clear" w:color="auto" w:fill="ffffff"/>
          <w:lang w:val="nl-NL"/>
        </w:rPr>
        <w:t xml:space="preserve">quy hoạch, tỉnh có 59 khu công nghiệp với diện tích 16.800 ha. Hiện nay, đã có 46 khu công nghiệp được thành lập với diện tích quy hoạch là 14.543,76 ha; </w:t>
      </w:r>
      <w:r>
        <w:rPr>
          <w:shd w:val="clear" w:color="auto" w:fill="ffffff"/>
          <w:lang w:val="nl-NL"/>
        </w:rPr>
        <w:t xml:space="preserve">trong đó, có 32 KCN (cùng với Đức Hòa III - SLICO) đủ điều kiện tiếp nhận đầu tư với diện tích quy hoạch là 9.473,17 ha (đất công nghiệp là 6.903,96 ha, đã cho thuê là 4.955,34 ha), tỷ lệ lấp đầy đạt 71,91%; diện tích đất sạch có thể cho thuê là 999,80 ha.</w:t>
      </w:r>
      <w:r/>
    </w:p>
  </w:footnote>
  <w:footnote w:id="12">
    <w:p>
      <w:pPr>
        <w:pStyle w:val="2064"/>
        <w:pBdr/>
        <w:spacing w:after="0"/>
        <w:ind/>
        <w:jc w:val="both"/>
        <w:rPr>
          <w:sz w:val="20"/>
          <w:szCs w:val="20"/>
        </w:rPr>
      </w:pPr>
      <w:r>
        <w:rPr>
          <w:rStyle w:val="2063"/>
          <w:sz w:val="20"/>
          <w:szCs w:val="20"/>
        </w:rPr>
        <w:footnoteRef/>
      </w:r>
      <w:r>
        <w:t xml:space="preserve">Theo </w:t>
      </w:r>
      <w:r>
        <w:rPr>
          <w:shd w:val="clear" w:color="auto" w:fill="ffffff"/>
          <w:lang w:val="nl-NL"/>
        </w:rPr>
        <w:t xml:space="preserve">quy hoạch, tỉnh có</w:t>
      </w:r>
      <w:r>
        <w:t xml:space="preserve"> </w:t>
      </w:r>
      <w:r>
        <w:rPr>
          <w:shd w:val="clear" w:color="auto" w:fill="ffffff"/>
          <w:lang w:val="nl-NL"/>
        </w:rPr>
        <w:t xml:space="preserve">82 cụm công nghiệp; hiện có 22 cụm công nghiệp đi vào hoạt động với diện tích </w:t>
      </w:r>
      <w:r>
        <w:t xml:space="preserve">1.072,40</w:t>
      </w:r>
      <w:r>
        <w:rPr>
          <w:shd w:val="clear" w:color="auto" w:fill="ffffff"/>
          <w:lang w:val="nl-NL"/>
        </w:rPr>
        <w:t xml:space="preserve"> ha; 28 cụm công nghiệp, diện tích </w:t>
      </w:r>
      <w:r>
        <w:t xml:space="preserve">1.490,77 </w:t>
      </w:r>
      <w:r>
        <w:rPr>
          <w:shd w:val="clear" w:color="auto" w:fill="ffffff"/>
          <w:lang w:val="nl-NL"/>
        </w:rPr>
        <w:t xml:space="preserve">ha đang triển khai thực hiện thủ tục đầu tư và xây dựng hạ tầng kỹ thuật. </w:t>
      </w:r>
      <w:r>
        <w:rPr>
          <w:sz w:val="20"/>
          <w:szCs w:val="20"/>
          <w:shd w:val="clear" w:color="auto" w:fill="ffffff"/>
          <w:lang w:val="nl-NL"/>
        </w:rPr>
        <w:t xml:space="preserve"> Tỷ lệ lấp đầy tính trên diện tích đất công nghiệp theo quy hoạch xây dựng. </w:t>
      </w:r>
      <w:r>
        <w:rPr>
          <w:sz w:val="20"/>
          <w:szCs w:val="20"/>
        </w:rPr>
      </w:r>
      <w:r>
        <w:rPr>
          <w:sz w:val="20"/>
          <w:szCs w:val="20"/>
        </w:rPr>
      </w:r>
    </w:p>
  </w:footnote>
  <w:footnote w:id="13">
    <w:p>
      <w:pPr>
        <w:pStyle w:val="2064"/>
        <w:pBdr/>
        <w:spacing w:after="0"/>
        <w:ind/>
        <w:jc w:val="both"/>
        <w:rPr>
          <w:spacing w:val="-4"/>
          <w:sz w:val="20"/>
          <w:szCs w:val="20"/>
        </w:rPr>
      </w:pPr>
      <w:r>
        <w:rPr>
          <w:rStyle w:val="2063"/>
          <w:spacing w:val="-4"/>
          <w:sz w:val="20"/>
          <w:szCs w:val="20"/>
        </w:rPr>
        <w:footnoteRef/>
      </w:r>
      <w:r>
        <w:rPr>
          <w:spacing w:val="-4"/>
          <w:sz w:val="20"/>
          <w:szCs w:val="20"/>
        </w:rPr>
        <w:t xml:space="preserve"> Nghị quyết của Ban chấp hành đảng bộ tỉnh về nâng cao hiệu lực, hiệu quả công tác bồi thường, giải phóng mặt bằng, tái định cư khi Nhà nước thu hồi đất trên địa bàn tỉnh Long An (trước khi sáp nhập).</w:t>
      </w:r>
      <w:r>
        <w:rPr>
          <w:spacing w:val="-4"/>
          <w:sz w:val="20"/>
          <w:szCs w:val="20"/>
        </w:rPr>
      </w:r>
      <w:r>
        <w:rPr>
          <w:spacing w:val="-4"/>
          <w:sz w:val="20"/>
          <w:szCs w:val="20"/>
        </w:rPr>
      </w:r>
    </w:p>
  </w:footnote>
  <w:footnote w:id="14">
    <w:p>
      <w:pPr>
        <w:widowControl w:val="false"/>
        <w:pBdr>
          <w:top w:val="none" w:color="000000" w:sz="4" w:space="0"/>
          <w:left w:val="none" w:color="000000" w:sz="4" w:space="0"/>
          <w:bottom w:val="none" w:color="000000" w:sz="4" w:space="26"/>
          <w:right w:val="none" w:color="000000" w:sz="4" w:space="0"/>
          <w:between w:val="none" w:color="000000" w:sz="4" w:space="0"/>
        </w:pBdr>
        <w:shd w:val="clear" w:color="auto" w:fill="ffffff"/>
        <w:spacing/>
        <w:ind w:right="62"/>
        <w:jc w:val="both"/>
        <w:rPr>
          <w:sz w:val="20"/>
          <w:szCs w:val="20"/>
        </w:rPr>
      </w:pPr>
      <w:r>
        <w:rPr>
          <w:rStyle w:val="2063"/>
          <w:sz w:val="20"/>
          <w:szCs w:val="20"/>
        </w:rPr>
        <w:footnoteRef/>
      </w:r>
      <w:r>
        <w:rPr>
          <w:sz w:val="20"/>
          <w:szCs w:val="20"/>
        </w:rPr>
        <w:t xml:space="preserve"> </w:t>
      </w:r>
      <w:r>
        <w:rPr>
          <w:sz w:val="20"/>
          <w:szCs w:val="20"/>
          <w:lang w:val="nb-NO"/>
        </w:rPr>
        <w:t xml:space="preserve">Trong đó: từ 04/11/2021 đến ngày 31/12/2021: 64,4185ha; năm 2022 trên địa bàn toàn tỉnh đã chi trả bồi thường được 494,78 ha; năm 2023 là 1.030,91 ha; năm 2024 là 1.728,88 ha; </w:t>
      </w:r>
      <w:r>
        <w:rPr>
          <w:bCs/>
          <w:sz w:val="20"/>
          <w:szCs w:val="20"/>
          <w:lang w:val="nb-NO"/>
        </w:rPr>
        <w:t xml:space="preserve">từ đầu năm 2025 đến nay là 779,0635 ha</w:t>
      </w:r>
      <w:r>
        <w:rPr>
          <w:sz w:val="20"/>
          <w:szCs w:val="20"/>
          <w:lang w:val="nb-NO"/>
        </w:rPr>
        <w:t xml:space="preserve">. </w:t>
      </w:r>
      <w:r>
        <w:rPr>
          <w:bCs/>
          <w:sz w:val="20"/>
          <w:szCs w:val="20"/>
          <w:lang w:val="nb-NO"/>
        </w:rPr>
        <w:t xml:space="preserve">Trong đó: 773,1145 ha </w:t>
      </w:r>
      <w:r>
        <w:rPr>
          <w:bCs/>
          <w:sz w:val="20"/>
          <w:szCs w:val="20"/>
        </w:rPr>
        <w:t xml:space="preserve">là</w:t>
      </w:r>
      <w:r>
        <w:rPr>
          <w:sz w:val="20"/>
          <w:szCs w:val="20"/>
        </w:rPr>
        <w:t xml:space="preserve"> </w:t>
      </w:r>
      <w:r>
        <w:rPr>
          <w:bCs/>
          <w:sz w:val="20"/>
          <w:szCs w:val="20"/>
        </w:rPr>
        <w:t xml:space="preserve">diện tích chi trả cho hộ dân để thu hồi đất thực hiện dự án; </w:t>
      </w:r>
      <w:r>
        <w:rPr>
          <w:sz w:val="20"/>
          <w:szCs w:val="20"/>
        </w:rPr>
        <w:t xml:space="preserve">5,949 ha</w:t>
      </w:r>
      <w:r>
        <w:rPr>
          <w:bCs/>
          <w:sz w:val="20"/>
          <w:szCs w:val="20"/>
        </w:rPr>
        <w:t xml:space="preserve"> là diện tích chi hỗ trợ cho hộ dân để thực hiện phân giới cắm mốc trên thực địa biên giới trên đất liền giữa nước Cộng hòa xã hội chủ nghĩa Việt Nam và Vương quốc Campuchia (</w:t>
      </w:r>
      <w:r>
        <w:rPr>
          <w:bCs/>
          <w:i/>
          <w:sz w:val="20"/>
          <w:szCs w:val="20"/>
        </w:rPr>
        <w:t xml:space="preserve">tại huyện Đức Huệ, huyện Mộc Hóa thuộc tỉnh Long An trước khi sáp nhập</w:t>
      </w:r>
      <w:r>
        <w:rPr>
          <w:bCs/>
          <w:sz w:val="20"/>
          <w:szCs w:val="20"/>
        </w:rPr>
        <w:t xml:space="preserve">).</w:t>
      </w:r>
      <w:r>
        <w:rPr>
          <w:sz w:val="20"/>
          <w:szCs w:val="20"/>
        </w:rPr>
      </w:r>
      <w:r>
        <w:rPr>
          <w:sz w:val="20"/>
          <w:szCs w:val="20"/>
        </w:rPr>
      </w:r>
    </w:p>
  </w:footnote>
  <w:footnote w:id="15">
    <w:p>
      <w:pPr>
        <w:pStyle w:val="2064"/>
        <w:pBdr/>
        <w:spacing w:after="0"/>
        <w:ind/>
        <w:jc w:val="both"/>
        <w:rPr>
          <w:rStyle w:val="2063"/>
          <w:sz w:val="20"/>
          <w:szCs w:val="20"/>
          <w:vertAlign w:val="baseline"/>
        </w:rPr>
      </w:pPr>
      <w:r>
        <w:rPr>
          <w:rStyle w:val="2063"/>
          <w:sz w:val="20"/>
          <w:szCs w:val="20"/>
        </w:rPr>
        <w:footnoteRef/>
      </w:r>
      <w:r>
        <w:rPr>
          <w:sz w:val="20"/>
          <w:szCs w:val="20"/>
        </w:rPr>
        <w:t xml:space="preserve"> </w:t>
      </w:r>
      <w:r>
        <w:rPr>
          <w:rStyle w:val="2063"/>
          <w:sz w:val="20"/>
          <w:szCs w:val="20"/>
          <w:vertAlign w:val="baseline"/>
        </w:rPr>
        <w:t xml:space="preserve">Tính</w:t>
      </w:r>
      <w:r>
        <w:rPr>
          <w:sz w:val="20"/>
          <w:szCs w:val="20"/>
        </w:rPr>
        <w:t xml:space="preserve"> </w:t>
      </w:r>
      <w:r>
        <w:rPr>
          <w:rStyle w:val="2063"/>
          <w:sz w:val="20"/>
          <w:szCs w:val="20"/>
          <w:vertAlign w:val="baseline"/>
        </w:rPr>
        <w:t xml:space="preserve">đến thời điểm báo cáo, số cán bộ, công chức,viên chức khối nhà nước đã được cử đi đào tạo 193/459 (13 tiến</w:t>
      </w:r>
      <w:r>
        <w:rPr>
          <w:sz w:val="20"/>
          <w:szCs w:val="20"/>
        </w:rPr>
        <w:t xml:space="preserve"> </w:t>
      </w:r>
      <w:r>
        <w:rPr>
          <w:rStyle w:val="2063"/>
          <w:sz w:val="20"/>
          <w:szCs w:val="20"/>
          <w:vertAlign w:val="baseline"/>
        </w:rPr>
        <w:t xml:space="preserve">sỹ, 83 thạc</w:t>
      </w:r>
      <w:r>
        <w:rPr>
          <w:sz w:val="20"/>
          <w:szCs w:val="20"/>
        </w:rPr>
        <w:t xml:space="preserve"> </w:t>
      </w:r>
      <w:r>
        <w:rPr>
          <w:rStyle w:val="2063"/>
          <w:sz w:val="20"/>
          <w:szCs w:val="20"/>
          <w:vertAlign w:val="baseline"/>
        </w:rPr>
        <w:t xml:space="preserve">sỹ, 287 chuyên khoa I  và 76 chuyên khoa II) đạt tỷ</w:t>
      </w:r>
      <w:r>
        <w:rPr>
          <w:sz w:val="20"/>
          <w:szCs w:val="20"/>
        </w:rPr>
        <w:t xml:space="preserve"> </w:t>
      </w:r>
      <w:r>
        <w:rPr>
          <w:rStyle w:val="2063"/>
          <w:sz w:val="20"/>
          <w:szCs w:val="20"/>
          <w:vertAlign w:val="baseline"/>
        </w:rPr>
        <w:t xml:space="preserve">lệ</w:t>
      </w:r>
      <w:r>
        <w:rPr>
          <w:sz w:val="20"/>
          <w:szCs w:val="20"/>
        </w:rPr>
        <w:t xml:space="preserve"> </w:t>
      </w:r>
      <w:r>
        <w:rPr>
          <w:rStyle w:val="2063"/>
          <w:sz w:val="20"/>
          <w:szCs w:val="20"/>
          <w:vertAlign w:val="baseline"/>
        </w:rPr>
        <w:t xml:space="preserve">42,08%, gồm:</w:t>
      </w:r>
      <w:r>
        <w:rPr>
          <w:sz w:val="20"/>
          <w:szCs w:val="20"/>
        </w:rPr>
        <w:t xml:space="preserve"> </w:t>
      </w:r>
      <w:r>
        <w:rPr>
          <w:rStyle w:val="2063"/>
          <w:sz w:val="20"/>
          <w:szCs w:val="20"/>
          <w:vertAlign w:val="baseline"/>
        </w:rPr>
        <w:t xml:space="preserve">05 tiến</w:t>
      </w:r>
      <w:r>
        <w:rPr>
          <w:sz w:val="20"/>
          <w:szCs w:val="20"/>
        </w:rPr>
        <w:t xml:space="preserve"> </w:t>
      </w:r>
      <w:r>
        <w:rPr>
          <w:rStyle w:val="2063"/>
          <w:sz w:val="20"/>
          <w:szCs w:val="20"/>
          <w:vertAlign w:val="baseline"/>
        </w:rPr>
        <w:t xml:space="preserve">sĩ;</w:t>
      </w:r>
      <w:r>
        <w:rPr>
          <w:sz w:val="20"/>
          <w:szCs w:val="20"/>
        </w:rPr>
        <w:t xml:space="preserve"> </w:t>
      </w:r>
      <w:r>
        <w:rPr>
          <w:rStyle w:val="2063"/>
          <w:sz w:val="20"/>
          <w:szCs w:val="20"/>
          <w:vertAlign w:val="baseline"/>
        </w:rPr>
        <w:t xml:space="preserve">46 thạc</w:t>
      </w:r>
      <w:r>
        <w:rPr>
          <w:sz w:val="20"/>
          <w:szCs w:val="20"/>
        </w:rPr>
        <w:t xml:space="preserve"> </w:t>
      </w:r>
      <w:r>
        <w:rPr>
          <w:rStyle w:val="2063"/>
          <w:sz w:val="20"/>
          <w:szCs w:val="20"/>
          <w:vertAlign w:val="baseline"/>
        </w:rPr>
        <w:t xml:space="preserve">sĩ;</w:t>
      </w:r>
      <w:r>
        <w:rPr>
          <w:sz w:val="20"/>
          <w:szCs w:val="20"/>
        </w:rPr>
        <w:t xml:space="preserve"> </w:t>
      </w:r>
      <w:r>
        <w:rPr>
          <w:rStyle w:val="2063"/>
          <w:sz w:val="20"/>
          <w:szCs w:val="20"/>
          <w:vertAlign w:val="baseline"/>
        </w:rPr>
        <w:t xml:space="preserve">126 chuyên khoa I; 16 chuyên khoa II. Đã</w:t>
      </w:r>
      <w:r>
        <w:rPr>
          <w:sz w:val="20"/>
          <w:szCs w:val="20"/>
        </w:rPr>
        <w:t xml:space="preserve"> </w:t>
      </w:r>
      <w:r>
        <w:rPr>
          <w:rStyle w:val="2063"/>
          <w:sz w:val="20"/>
          <w:szCs w:val="20"/>
          <w:vertAlign w:val="baseline"/>
        </w:rPr>
        <w:t xml:space="preserve">tốt nghiệp: 02 tiến sĩ, 08 thạc sĩ, </w:t>
      </w:r>
      <w:r>
        <w:rPr>
          <w:sz w:val="20"/>
          <w:szCs w:val="20"/>
        </w:rPr>
        <w:t xml:space="preserve">76 chuyên khoa I, 10 chuyên khoa II.</w:t>
      </w:r>
      <w:r>
        <w:rPr>
          <w:rStyle w:val="2063"/>
          <w:sz w:val="20"/>
          <w:szCs w:val="20"/>
          <w:vertAlign w:val="baseline"/>
        </w:rPr>
      </w:r>
      <w:r>
        <w:rPr>
          <w:rStyle w:val="2063"/>
          <w:sz w:val="20"/>
          <w:szCs w:val="20"/>
          <w:vertAlign w:val="baseline"/>
        </w:rPr>
      </w:r>
    </w:p>
  </w:footnote>
  <w:footnote w:id="16">
    <w:p>
      <w:pPr>
        <w:pStyle w:val="2064"/>
        <w:pBdr/>
        <w:spacing w:after="0"/>
        <w:ind/>
        <w:jc w:val="both"/>
        <w:rPr>
          <w:rStyle w:val="2063"/>
          <w:sz w:val="20"/>
          <w:szCs w:val="20"/>
          <w:vertAlign w:val="baseline"/>
        </w:rPr>
      </w:pPr>
      <w:r>
        <w:rPr>
          <w:rStyle w:val="2063"/>
          <w:sz w:val="20"/>
          <w:szCs w:val="20"/>
          <w:vertAlign w:val="baseline"/>
        </w:rPr>
        <w:footnoteRef/>
      </w:r>
      <w:r>
        <w:rPr>
          <w:rStyle w:val="2063"/>
          <w:sz w:val="20"/>
          <w:szCs w:val="20"/>
          <w:vertAlign w:val="baseline"/>
        </w:rPr>
        <w:t xml:space="preserve"> Kế hoạch số 1569/KH-UBND ngày 24/5/2021 triển khai thực hiện Nghị quyết số 12-NQ/TU của Ban Chấp hành Đảng bộ tỉnh; Quyết định số 9207/QĐ-UBND ngày 20/9/2021 p</w:t>
      </w:r>
      <w:r>
        <w:rPr>
          <w:rStyle w:val="2063"/>
          <w:sz w:val="20"/>
          <w:szCs w:val="20"/>
          <w:vertAlign w:val="baseline"/>
        </w:rPr>
        <w:t xml:space="preserve">hê duyệt Đề án đào tạo nguồn nhân lực ngành Y tế giai đoạn 2021-2025; Kế hoạch số 715/KH-UBND ngày 15/3/2022 về việc bồi dưỡng ngoại ngữ cho cán bộ, công chức,viên chức; Kế hoạch số 1016/KH-UBND ngày 04/04/2022 triển khai Đề án đưa người lao động đi làm vi</w:t>
      </w:r>
      <w:r>
        <w:rPr>
          <w:rStyle w:val="2063"/>
          <w:sz w:val="20"/>
          <w:szCs w:val="20"/>
          <w:vertAlign w:val="baseline"/>
        </w:rPr>
        <w:t xml:space="preserve">ệc ở nước ngoài theo hợp đồng năm 2022; Quyết định số 53/2022/QĐ-UBND ngày 13/9/2022 quy định chế độ hỗ trợ đào tạo sau đại học đối với cán bộ, công chức, viên chức và chính sách thu hút nguồn nhân lực đáp ứng nhu cầu phát triển công nghiệp và nông nghiệp.</w:t>
      </w:r>
      <w:r>
        <w:rPr>
          <w:rStyle w:val="2063"/>
          <w:sz w:val="20"/>
          <w:szCs w:val="20"/>
          <w:vertAlign w:val="baseline"/>
        </w:rPr>
      </w:r>
      <w:r>
        <w:rPr>
          <w:rStyle w:val="2063"/>
          <w:sz w:val="20"/>
          <w:szCs w:val="20"/>
          <w:vertAlign w:val="baseline"/>
        </w:rPr>
      </w:r>
    </w:p>
  </w:footnote>
  <w:footnote w:id="17">
    <w:p>
      <w:pPr>
        <w:widowControl w:val="false"/>
        <w:pBdr>
          <w:bottom w:val="none" w:color="000000" w:sz="0" w:space="0"/>
        </w:pBdr>
        <w:shd w:val="clear" w:color="auto" w:fill="ffffff"/>
        <w:tabs>
          <w:tab w:val="left" w:leader="none" w:pos="0"/>
        </w:tabs>
        <w:spacing w:after="40" w:before="40" w:line="276" w:lineRule="auto"/>
        <w:ind/>
        <w:contextualSpacing w:val="true"/>
        <w:jc w:val="both"/>
        <w:rPr>
          <w:sz w:val="20"/>
          <w:szCs w:val="20"/>
        </w:rPr>
      </w:pPr>
      <w:r>
        <w:rPr>
          <w:rStyle w:val="2063"/>
          <w:sz w:val="20"/>
          <w:szCs w:val="20"/>
        </w:rPr>
        <w:footnoteRef/>
      </w:r>
      <w:r>
        <w:rPr>
          <w:sz w:val="20"/>
          <w:szCs w:val="20"/>
        </w:rPr>
        <w:t xml:space="preserve"> </w:t>
      </w:r>
      <w:r>
        <w:rPr>
          <w:b/>
          <w:bCs/>
          <w:iCs/>
          <w:sz w:val="20"/>
          <w:szCs w:val="20"/>
          <w:lang w:val="es-ES"/>
        </w:rPr>
        <w:t xml:space="preserve">Bệnh SD/SXHD</w:t>
      </w:r>
      <w:r>
        <w:rPr>
          <w:iCs/>
          <w:sz w:val="20"/>
          <w:szCs w:val="20"/>
          <w:lang w:val="es-ES"/>
        </w:rPr>
        <w:t xml:space="preserve">: </w:t>
      </w:r>
      <w:r>
        <w:rPr>
          <w:i/>
          <w:iCs/>
          <w:sz w:val="20"/>
          <w:szCs w:val="20"/>
        </w:rPr>
        <w:t xml:space="preserve">Trong tháng: Số mắc SXHD là 1.418 ca (1.180 ca nội trú, 238 ca ngoại trú), tăng 56% so với tháng trước (910 ca), t</w:t>
      </w:r>
      <w:r>
        <w:rPr>
          <w:i/>
          <w:iCs/>
          <w:sz w:val="20"/>
          <w:szCs w:val="20"/>
        </w:rPr>
        <w:t xml:space="preserve">ăng 5,8 lần so với cùng kỳ (2024: 243 ca) và số ca nội trú tăng 2,3 lần so với số ca mắc trung bình 5 năm 2016-2020 (501 ca). Số ca SXHD nặng là 39 ca, tăng 05 ca so với tháng trước (34 ca), tăng 32 ca so với cùng kỳ (2024: 07 ca). Số ca tử vong ghi nhận 0</w:t>
      </w:r>
      <w:r>
        <w:rPr>
          <w:i/>
          <w:iCs/>
          <w:sz w:val="20"/>
          <w:szCs w:val="20"/>
        </w:rPr>
        <w:t xml:space="preserve"> ca, bằng so với tháng trước (0 ca), bằng so với cùng kỳ (2024: 0 ca); Tính từ đầu năm đến 31/7/2025: Tổng số ca mắc: 4.483 ca (3.546 ca nội trú, 937 ca ngoại trú), tăng 4 lần so với cùng kỳ (2024: 1.121 ca) và số ca nội trú tăng 66% so với số ca mắc trung</w:t>
      </w:r>
      <w:r>
        <w:rPr>
          <w:i/>
          <w:iCs/>
          <w:sz w:val="20"/>
          <w:szCs w:val="20"/>
        </w:rPr>
        <w:t xml:space="preserve"> bình 5 năm 2016-2020 (2.136 ca). Tổng số ca SXHD nặng: 132 ca, tăng 3,7 lần so với cùng kỳ (2024: 36 ca). Tổng số ca tử vong là 0 ca, bằng so với cùng kỳ (2024: 0 ca). Ghi nhận: 534 ổ dịch, cộng dồn: 1797 ổ dịch. Đã xử lý 1795/1797 ổ dịch, đạt tỷ lệ 100. </w:t>
      </w:r>
      <w:r>
        <w:rPr>
          <w:b/>
          <w:i/>
          <w:iCs/>
          <w:sz w:val="20"/>
          <w:szCs w:val="20"/>
        </w:rPr>
        <w:t xml:space="preserve">Cúm:</w:t>
      </w:r>
      <w:r>
        <w:rPr>
          <w:i/>
          <w:iCs/>
          <w:sz w:val="20"/>
          <w:szCs w:val="20"/>
        </w:rPr>
        <w:t xml:space="preserve"> </w:t>
      </w:r>
      <w:r>
        <w:rPr>
          <w:i/>
          <w:sz w:val="20"/>
          <w:szCs w:val="20"/>
        </w:rPr>
        <w:t xml:space="preserve">Ghi nhận 451 ca, tăng 0,6% so với tháng trước (448 ca) và giảm 23,1% so cùng kỳ (587 ca). Cộng dồn: 3.793 ca, giảm 13,8% so cùng kỳ 2024 (4.404 ca).</w:t>
      </w:r>
      <w:r>
        <w:rPr>
          <w:i/>
          <w:iCs/>
          <w:sz w:val="20"/>
          <w:szCs w:val="20"/>
        </w:rPr>
        <w:t xml:space="preserve"> </w:t>
      </w:r>
      <w:r>
        <w:rPr>
          <w:b/>
          <w:i/>
          <w:iCs/>
          <w:sz w:val="20"/>
          <w:szCs w:val="20"/>
        </w:rPr>
        <w:t xml:space="preserve">Thủy đậu:</w:t>
      </w:r>
      <w:r>
        <w:rPr>
          <w:i/>
          <w:iCs/>
          <w:sz w:val="20"/>
          <w:szCs w:val="20"/>
        </w:rPr>
        <w:t xml:space="preserve"> </w:t>
      </w:r>
      <w:r>
        <w:rPr>
          <w:i/>
          <w:sz w:val="20"/>
          <w:szCs w:val="20"/>
        </w:rPr>
        <w:t xml:space="preserve">Ghi nhận 35 ca, tăng 2,5 lần so với tháng trước (14 ca) và tăng 2,9 so với cùng kỳ (12 ca). Cộng dồn: 228 ca, tăng 54% so cùng kỳ 2024 (148 ca).....</w:t>
      </w:r>
      <w:r>
        <w:rPr>
          <w:sz w:val="20"/>
          <w:szCs w:val="20"/>
        </w:rPr>
      </w:r>
      <w:r>
        <w:rPr>
          <w:sz w:val="20"/>
          <w:szCs w:val="20"/>
        </w:rPr>
      </w:r>
    </w:p>
  </w:footnote>
  <w:footnote w:id="18">
    <w:p>
      <w:pPr>
        <w:pStyle w:val="2064"/>
        <w:pBdr/>
        <w:spacing w:after="0"/>
        <w:ind/>
        <w:jc w:val="both"/>
        <w:rPr>
          <w:rStyle w:val="2063"/>
          <w:sz w:val="20"/>
          <w:szCs w:val="20"/>
          <w:vertAlign w:val="baseline"/>
        </w:rPr>
      </w:pPr>
      <w:r>
        <w:rPr>
          <w:rStyle w:val="2063"/>
          <w:sz w:val="20"/>
          <w:szCs w:val="20"/>
        </w:rPr>
        <w:footnoteRef/>
      </w:r>
      <w:r>
        <w:rPr>
          <w:rStyle w:val="2063"/>
          <w:sz w:val="20"/>
          <w:szCs w:val="20"/>
        </w:rPr>
        <w:t xml:space="preserve"> </w:t>
      </w:r>
      <w:r>
        <w:rPr>
          <w:rStyle w:val="2063"/>
          <w:sz w:val="20"/>
          <w:szCs w:val="20"/>
          <w:vertAlign w:val="baseline"/>
        </w:rPr>
        <w:t xml:space="preserve">Phát sóng trên đài phát thanh - truyền hình: </w:t>
      </w:r>
      <w:r>
        <w:rPr>
          <w:sz w:val="20"/>
          <w:szCs w:val="20"/>
        </w:rPr>
        <w:t xml:space="preserve">01 phóng sự “</w:t>
      </w:r>
      <w:r>
        <w:rPr>
          <w:spacing w:val="3"/>
          <w:sz w:val="20"/>
          <w:szCs w:val="20"/>
          <w:shd w:val="clear" w:color="auto" w:fill="ffffff"/>
        </w:rPr>
        <w:t xml:space="preserve">Ngày Dân số Thế giới</w:t>
      </w:r>
      <w:r>
        <w:rPr>
          <w:sz w:val="20"/>
          <w:szCs w:val="20"/>
        </w:rPr>
        <w:t xml:space="preserve">”, 01 phim khoa giáo “</w:t>
      </w:r>
      <w:r>
        <w:rPr>
          <w:spacing w:val="3"/>
          <w:sz w:val="20"/>
          <w:szCs w:val="20"/>
          <w:shd w:val="clear" w:color="auto" w:fill="ffffff"/>
        </w:rPr>
        <w:t xml:space="preserve">Phòng bệnh do vi rút HPV”.</w:t>
      </w:r>
      <w:r>
        <w:rPr>
          <w:rStyle w:val="2063"/>
          <w:sz w:val="20"/>
          <w:szCs w:val="20"/>
          <w:vertAlign w:val="baseline"/>
        </w:rPr>
        <w:t xml:space="preserve">Đăng website ngành: 4</w:t>
      </w:r>
      <w:r>
        <w:rPr>
          <w:sz w:val="20"/>
          <w:szCs w:val="20"/>
        </w:rPr>
        <w:t xml:space="preserve">7</w:t>
      </w:r>
      <w:r>
        <w:rPr>
          <w:rStyle w:val="2063"/>
          <w:sz w:val="20"/>
          <w:szCs w:val="20"/>
          <w:vertAlign w:val="baseline"/>
        </w:rPr>
        <w:t xml:space="preserve"> bài, 2</w:t>
      </w:r>
      <w:r>
        <w:rPr>
          <w:sz w:val="20"/>
          <w:szCs w:val="20"/>
        </w:rPr>
        <w:t xml:space="preserve">4</w:t>
      </w:r>
      <w:r>
        <w:rPr>
          <w:rStyle w:val="2063"/>
          <w:sz w:val="20"/>
          <w:szCs w:val="20"/>
          <w:vertAlign w:val="baseline"/>
        </w:rPr>
        <w:t xml:space="preserve"> tin: Đa dạng các chủ đề</w:t>
      </w:r>
      <w:r>
        <w:rPr>
          <w:sz w:val="20"/>
          <w:szCs w:val="20"/>
        </w:rPr>
        <w:t xml:space="preserve"> (Phòng, chống các bệnh truyền nhiễm, tiêm chủng mở rộng, COVID-19, HIV/AIDS, tăng huyết áp, đái tháo đường, rối loạn chuyển hóa acid béo ở trẻ, sức khỏe người cao tuổi, SKSS- </w:t>
      </w:r>
      <w:r>
        <w:rPr>
          <w:sz w:val="20"/>
          <w:szCs w:val="20"/>
        </w:rPr>
        <w:t xml:space="preserve">KHHGĐ, sức khỏe sinh sản vị thành niên, sàng lọc trước sinh và sơ sinh, các bệnh lây truyền từ mẹ sang con, an toàn thực phẩm, phòng chống tác hại thuốc lá, y học cổ truyền, thuốc đông y, gương người tốt việc tốt và các hoạt động nổi bật của ngành y tế,…).</w:t>
      </w:r>
      <w:r>
        <w:rPr>
          <w:rStyle w:val="2063"/>
          <w:sz w:val="20"/>
          <w:szCs w:val="20"/>
          <w:vertAlign w:val="baseline"/>
        </w:rPr>
      </w:r>
      <w:r>
        <w:rPr>
          <w:rStyle w:val="2063"/>
          <w:sz w:val="20"/>
          <w:szCs w:val="20"/>
          <w:vertAlign w:val="baseline"/>
        </w:rPr>
      </w:r>
    </w:p>
  </w:footnote>
  <w:footnote w:id="19">
    <w:p>
      <w:pPr>
        <w:pBdr/>
        <w:spacing/>
        <w:ind/>
        <w:jc w:val="both"/>
        <w:rPr>
          <w:bCs/>
          <w:sz w:val="20"/>
          <w:szCs w:val="20"/>
        </w:rPr>
      </w:pPr>
      <w:r>
        <w:rPr>
          <w:rStyle w:val="2063"/>
          <w:sz w:val="20"/>
          <w:szCs w:val="20"/>
        </w:rPr>
        <w:footnoteRef/>
      </w:r>
      <w:r>
        <w:rPr>
          <w:bCs/>
          <w:sz w:val="20"/>
          <w:szCs w:val="20"/>
        </w:rPr>
        <w:t xml:space="preserve"> </w:t>
      </w:r>
      <w:r>
        <w:rPr>
          <w:sz w:val="20"/>
          <w:szCs w:val="20"/>
        </w:rPr>
        <w:t xml:space="preserve">K</w:t>
      </w:r>
      <w:r>
        <w:rPr>
          <w:sz w:val="20"/>
          <w:szCs w:val="20"/>
        </w:rPr>
        <w:t xml:space="preserve">ỷ niệm 80 năm Ngày Quốc khánh (2/9/1945-02/9/2025),</w:t>
      </w:r>
      <w:r>
        <w:rPr>
          <w:bCs/>
          <w:sz w:val="20"/>
          <w:szCs w:val="20"/>
          <w:shd w:val="clear" w:color="auto" w:fill="ffffff"/>
          <w:lang w:val="nl-NL"/>
        </w:rPr>
        <w:t xml:space="preserve"> kỷ niệm 96 năm ngày thành lập công đoàn Việt Nam (28/7/1929-28/7/2025), kỷ niệm 95 năm ngày truyền thống ngành </w:t>
      </w:r>
      <w:r>
        <w:rPr>
          <w:bCs/>
          <w:sz w:val="20"/>
          <w:szCs w:val="20"/>
          <w:shd w:val="clear" w:color="auto" w:fill="ffffff"/>
          <w:lang w:val="nl-NL"/>
        </w:rPr>
        <w:t xml:space="preserve">Tuyên giáo của Đảng (01/8/1930 -</w:t>
      </w:r>
      <w:r>
        <w:rPr>
          <w:bCs/>
          <w:sz w:val="20"/>
          <w:szCs w:val="20"/>
          <w:shd w:val="clear" w:color="auto" w:fill="ffffff"/>
          <w:lang w:val="nl-NL"/>
        </w:rPr>
        <w:t xml:space="preserve"> 01/8/2025), về An toàn vệ sinh thực phẩm, phòn</w:t>
      </w:r>
      <w:r>
        <w:rPr>
          <w:bCs/>
          <w:sz w:val="20"/>
          <w:szCs w:val="20"/>
          <w:shd w:val="clear" w:color="auto" w:fill="ffffff"/>
          <w:lang w:val="nl-NL"/>
        </w:rPr>
        <w:t xml:space="preserve">g chống sốt xuất huyết, PCCC,...</w:t>
      </w:r>
      <w:r>
        <w:rPr>
          <w:bCs/>
          <w:sz w:val="20"/>
          <w:szCs w:val="20"/>
        </w:rPr>
      </w:r>
      <w:r>
        <w:rPr>
          <w:bCs/>
          <w:sz w:val="20"/>
          <w:szCs w:val="20"/>
        </w:rPr>
      </w:r>
    </w:p>
  </w:footnote>
  <w:footnote w:id="20">
    <w:p>
      <w:pPr>
        <w:pStyle w:val="2064"/>
        <w:pBdr/>
        <w:spacing w:after="0"/>
        <w:ind/>
        <w:jc w:val="both"/>
        <w:rPr/>
      </w:pPr>
      <w:r>
        <w:rPr>
          <w:rStyle w:val="2063"/>
          <w:sz w:val="20"/>
          <w:szCs w:val="20"/>
        </w:rPr>
        <w:footnoteRef/>
      </w:r>
      <w:r>
        <w:rPr>
          <w:rStyle w:val="2063"/>
          <w:sz w:val="20"/>
          <w:szCs w:val="20"/>
        </w:rPr>
        <w:t xml:space="preserve"> </w:t>
      </w:r>
      <w:r>
        <w:rPr>
          <w:bCs/>
          <w:sz w:val="20"/>
          <w:szCs w:val="20"/>
        </w:rPr>
        <w:t xml:space="preserve">Tuyên truyền trực quan </w:t>
      </w:r>
      <w:r>
        <w:rPr>
          <w:sz w:val="20"/>
          <w:szCs w:val="20"/>
        </w:rPr>
        <w:t xml:space="preserve">39 tấm pano, 12 tấm băng rôn ngang, 250 tấm cờ phướn, 63 tấm khẩu hiệu chiến lược, 200 cờ các loại, 01 lượt xe loa, 01 phông màn hình Led.</w:t>
      </w:r>
      <w:r/>
    </w:p>
  </w:footnote>
  <w:footnote w:id="21">
    <w:p>
      <w:pPr>
        <w:pStyle w:val="2064"/>
        <w:pBdr/>
        <w:spacing w:after="0"/>
        <w:ind/>
        <w:jc w:val="both"/>
        <w:rPr/>
      </w:pPr>
      <w:r>
        <w:rPr>
          <w:sz w:val="20"/>
          <w:szCs w:val="20"/>
          <w:vertAlign w:val="superscript"/>
        </w:rPr>
        <w:footnoteRef/>
      </w:r>
      <w:r>
        <w:rPr>
          <w:sz w:val="20"/>
          <w:szCs w:val="20"/>
          <w:vertAlign w:val="superscript"/>
        </w:rPr>
        <w:t xml:space="preserve"> </w:t>
      </w:r>
      <w:r>
        <w:rPr>
          <w:sz w:val="20"/>
          <w:szCs w:val="20"/>
        </w:rPr>
        <w:t xml:space="preserve">Giải Vô địch Bóng bàn các Câu lạc bộ quốc gia năm 2025 và Giải Bơi truyền thống trung cao tuổi toàn quốc lần thứ XXVII năm 2025.</w:t>
      </w:r>
      <w:r/>
    </w:p>
  </w:footnote>
  <w:footnote w:id="22">
    <w:p>
      <w:pPr>
        <w:pStyle w:val="2064"/>
        <w:pBdr/>
        <w:spacing/>
        <w:ind/>
        <w:rPr/>
      </w:pPr>
      <w:r>
        <w:rPr>
          <w:rStyle w:val="2063"/>
        </w:rPr>
        <w:footnoteRef/>
      </w:r>
      <w:r>
        <w:t xml:space="preserve"> Gồm 29 HCV, 27 HCB và 71 HCĐ.</w:t>
      </w:r>
      <w:r/>
    </w:p>
  </w:footnote>
  <w:footnote w:id="23">
    <w:p>
      <w:pPr>
        <w:pStyle w:val="2064"/>
        <w:pBdr/>
        <w:spacing w:after="0"/>
        <w:ind/>
        <w:jc w:val="both"/>
        <w:rPr>
          <w:rStyle w:val="2063"/>
          <w:sz w:val="20"/>
          <w:szCs w:val="20"/>
        </w:rPr>
      </w:pPr>
      <w:r>
        <w:rPr>
          <w:bCs/>
          <w:sz w:val="20"/>
          <w:szCs w:val="20"/>
          <w:vertAlign w:val="superscript"/>
        </w:rPr>
        <w:footnoteRef/>
      </w:r>
      <w:r>
        <w:rPr>
          <w:bCs/>
          <w:sz w:val="20"/>
          <w:szCs w:val="20"/>
        </w:rPr>
        <w:t xml:space="preserve"> </w:t>
      </w:r>
      <w:r>
        <w:rPr>
          <w:lang w:val="sv-SE"/>
        </w:rPr>
        <w:t xml:space="preserve">Ước thực hiện tháng 8 năm 2025: Khách tham quan các khu, điểm du lịch đạt 545.000 lượt khách, tăng 25,3% so cùng kỳ; tổng doanh thu du lịch đạt 320 tỷ đồng, tăng 31,7% so cùng kỳ</w:t>
      </w:r>
      <w:r>
        <w:rPr>
          <w:bCs/>
          <w:sz w:val="20"/>
          <w:szCs w:val="20"/>
        </w:rPr>
        <w:t xml:space="preserve">.</w:t>
      </w:r>
      <w:r>
        <w:rPr>
          <w:rStyle w:val="2063"/>
          <w:sz w:val="20"/>
          <w:szCs w:val="20"/>
        </w:rPr>
      </w:r>
      <w:r>
        <w:rPr>
          <w:rStyle w:val="2063"/>
          <w:sz w:val="20"/>
          <w:szCs w:val="20"/>
        </w:rPr>
      </w:r>
    </w:p>
  </w:footnote>
  <w:footnote w:id="24">
    <w:p>
      <w:pPr>
        <w:pStyle w:val="2064"/>
        <w:pBdr/>
        <w:spacing w:after="0"/>
        <w:ind/>
        <w:jc w:val="both"/>
        <w:rPr>
          <w:rStyle w:val="2063"/>
          <w:sz w:val="20"/>
          <w:szCs w:val="20"/>
        </w:rPr>
      </w:pPr>
      <w:r>
        <w:rPr>
          <w:rStyle w:val="2063"/>
          <w:sz w:val="20"/>
          <w:szCs w:val="20"/>
        </w:rPr>
        <w:footnoteRef/>
      </w:r>
      <w:r>
        <w:rPr>
          <w:rStyle w:val="2063"/>
          <w:sz w:val="20"/>
          <w:szCs w:val="20"/>
        </w:rPr>
        <w:t xml:space="preserve"> </w:t>
      </w:r>
      <w:r>
        <w:rPr>
          <w:lang w:val="it-IT"/>
        </w:rPr>
        <w:t xml:space="preserve">Báo chí ngoài tỉnh có 466 tin, bài viết về Tây Ninh</w:t>
      </w:r>
      <w:r>
        <w:rPr>
          <w:sz w:val="20"/>
          <w:szCs w:val="20"/>
          <w:lang w:val="da-DK"/>
        </w:rPr>
        <w:t xml:space="preserve">, bài tuyên truyền, tập trung vào các sự kiện thời sự, chính trị, an ninh trật tự, các vấn đề nổi bật trong đời sống xã hội, đáp ứng nhu cầu thông tin của người dân; tuyên tuyền phòng, chống thiên tai và biến đổi khí hậu.</w:t>
      </w:r>
      <w:r>
        <w:rPr>
          <w:rStyle w:val="2063"/>
          <w:sz w:val="20"/>
          <w:szCs w:val="20"/>
        </w:rPr>
      </w:r>
      <w:r>
        <w:rPr>
          <w:rStyle w:val="2063"/>
          <w:sz w:val="20"/>
          <w:szCs w:val="20"/>
        </w:rPr>
      </w:r>
    </w:p>
  </w:footnote>
  <w:footnote w:id="25">
    <w:p>
      <w:pPr>
        <w:pStyle w:val="2064"/>
        <w:pBdr/>
        <w:spacing w:after="0"/>
        <w:ind/>
        <w:jc w:val="both"/>
        <w:rPr>
          <w:rStyle w:val="2063"/>
          <w:sz w:val="20"/>
          <w:szCs w:val="20"/>
        </w:rPr>
      </w:pPr>
      <w:r>
        <w:rPr>
          <w:rStyle w:val="2063"/>
          <w:sz w:val="20"/>
          <w:szCs w:val="20"/>
        </w:rPr>
        <w:footnoteRef/>
      </w:r>
      <w:r>
        <w:rPr>
          <w:rStyle w:val="2063"/>
          <w:sz w:val="20"/>
          <w:szCs w:val="20"/>
        </w:rPr>
        <w:t xml:space="preserve"> </w:t>
      </w:r>
      <w:r>
        <w:rPr>
          <w:sz w:val="20"/>
          <w:szCs w:val="20"/>
        </w:rPr>
        <w:t xml:space="preserve">Chấp thuận nhu c</w:t>
      </w:r>
      <w:r>
        <w:rPr>
          <w:sz w:val="20"/>
          <w:szCs w:val="20"/>
        </w:rPr>
        <w:t xml:space="preserve">ầu sử dụng lao động nước ngoài 240 doanh nghiệp với 878 vị trí; thẩm định, cấp Giấy phép lao động cho người nước ngoài theo quy định: cấp mới 469 lao động, cấp lại 202 lao động, gia hạn 279 lao động, xác nhận không thuộc diện Giấy phép lao động 06 lao động</w:t>
      </w:r>
      <w:r>
        <w:rPr>
          <w:spacing w:val="3"/>
          <w:sz w:val="20"/>
          <w:szCs w:val="20"/>
          <w:shd w:val="clear" w:color="auto" w:fill="ffffff"/>
        </w:rPr>
        <w:t xml:space="preserve">.</w:t>
      </w:r>
      <w:r>
        <w:rPr>
          <w:rStyle w:val="2063"/>
          <w:sz w:val="20"/>
          <w:szCs w:val="20"/>
        </w:rPr>
      </w:r>
      <w:r>
        <w:rPr>
          <w:rStyle w:val="2063"/>
          <w:sz w:val="20"/>
          <w:szCs w:val="20"/>
        </w:rPr>
      </w:r>
    </w:p>
  </w:footnote>
  <w:footnote w:id="26">
    <w:p>
      <w:pPr>
        <w:pStyle w:val="2064"/>
        <w:pBdr/>
        <w:spacing w:after="0"/>
        <w:ind/>
        <w:jc w:val="both"/>
        <w:rPr>
          <w:rStyle w:val="2063"/>
          <w:sz w:val="20"/>
          <w:szCs w:val="20"/>
        </w:rPr>
      </w:pPr>
      <w:r>
        <w:rPr>
          <w:rStyle w:val="2063"/>
          <w:sz w:val="20"/>
          <w:szCs w:val="20"/>
        </w:rPr>
        <w:footnoteRef/>
      </w:r>
      <w:r>
        <w:rPr>
          <w:spacing w:val="3"/>
          <w:sz w:val="20"/>
          <w:szCs w:val="20"/>
          <w:shd w:val="clear" w:color="auto" w:fill="ffffff"/>
        </w:rPr>
        <w:t xml:space="preserve">Trong tháng, toàn tỉnh đã giải quyết cho 4.318 người hưởng Bảo hiểm thất nghiệp (BHTN), với số tiền </w:t>
      </w:r>
      <w:r>
        <w:rPr>
          <w:sz w:val="20"/>
          <w:szCs w:val="20"/>
        </w:rPr>
        <w:t xml:space="preserve">102,4 tỷ</w:t>
      </w:r>
      <w:r>
        <w:rPr>
          <w:spacing w:val="3"/>
          <w:sz w:val="20"/>
          <w:szCs w:val="20"/>
          <w:shd w:val="clear" w:color="auto" w:fill="ffffff"/>
        </w:rPr>
        <w:t xml:space="preserve"> đồng; tư vấn giới thiệu việc làm cho 25.384 lượt người.</w:t>
      </w:r>
      <w:r>
        <w:rPr>
          <w:rStyle w:val="2063"/>
          <w:sz w:val="20"/>
          <w:szCs w:val="20"/>
        </w:rPr>
      </w:r>
      <w:r>
        <w:rPr>
          <w:rStyle w:val="2063"/>
          <w:sz w:val="20"/>
          <w:szCs w:val="20"/>
        </w:rPr>
      </w:r>
    </w:p>
  </w:footnote>
  <w:footnote w:id="27">
    <w:p>
      <w:pPr>
        <w:pStyle w:val="2064"/>
        <w:pBdr/>
        <w:spacing w:after="0"/>
        <w:ind/>
        <w:jc w:val="both"/>
        <w:rPr>
          <w:sz w:val="20"/>
          <w:szCs w:val="20"/>
        </w:rPr>
      </w:pPr>
      <w:r>
        <w:rPr>
          <w:rStyle w:val="2063"/>
          <w:sz w:val="20"/>
          <w:szCs w:val="20"/>
        </w:rPr>
        <w:footnoteRef/>
      </w:r>
      <w:r>
        <w:rPr>
          <w:sz w:val="20"/>
          <w:szCs w:val="20"/>
        </w:rPr>
        <w:t xml:space="preserve"> </w:t>
      </w:r>
      <w:r>
        <w:rPr>
          <w:sz w:val="20"/>
          <w:szCs w:val="20"/>
          <w:lang w:val="en-GB" w:eastAsia="en-GB"/>
        </w:rPr>
        <w:t xml:space="preserve">Trong tháng, toàn tỉnh đã đưa 771 người lao động đi làm việc tại nước ngoài, trong đó có 502 người sang Nhật Bản, 179 người sang Đài Loan và 90 người sang các thị trường khác</w:t>
      </w:r>
      <w:r>
        <w:rPr>
          <w:sz w:val="20"/>
          <w:szCs w:val="20"/>
        </w:rPr>
        <w:t xml:space="preserve">.</w:t>
      </w:r>
      <w:r>
        <w:rPr>
          <w:sz w:val="20"/>
          <w:szCs w:val="20"/>
        </w:rPr>
      </w:r>
      <w:r>
        <w:rPr>
          <w:sz w:val="20"/>
          <w:szCs w:val="20"/>
        </w:rPr>
      </w:r>
    </w:p>
  </w:footnote>
  <w:footnote w:id="28">
    <w:p>
      <w:pPr>
        <w:pStyle w:val="2064"/>
        <w:pBdr/>
        <w:spacing/>
        <w:ind/>
        <w:jc w:val="both"/>
        <w:rPr/>
      </w:pPr>
      <w:r>
        <w:rPr>
          <w:rStyle w:val="2063"/>
        </w:rPr>
        <w:footnoteRef/>
      </w:r>
      <w:r>
        <w:t xml:space="preserve"> K</w:t>
      </w:r>
      <w:r>
        <w:rPr>
          <w:spacing w:val="3"/>
          <w:shd w:val="clear" w:color="auto" w:fill="ffffff"/>
        </w:rPr>
        <w:t xml:space="preserve">inh phí trên 12,7 tỷ đồng (trong đó ngân sách tỉnh trên 3,2 tỷ đồng)</w:t>
      </w:r>
      <w:r>
        <w:t xml:space="preserve">: viếng nghĩa trang liệt sĩ tỉnh; tổ chức Đoàn đi thăm hỏi, tặng quà cho người có công với cách mạng, gia đình chính sách tiêu biểu; </w:t>
      </w:r>
      <w:r>
        <w:rPr>
          <w:bCs/>
          <w:lang w:val="en-GB" w:eastAsia="en-GB"/>
        </w:rPr>
        <w:t xml:space="preserve">thăm và tặng quà cán bộ nguyên là Ủy viên Ban chấp hành Đảng bộ tỉnh là thương binh; Anh hùng lực lượng vũ trang nhân dân, bị nhiễm chất độc hoá học...; </w:t>
      </w:r>
      <w:r>
        <w:t xml:space="preserve">tiếp nhận hoa, lọ hoa và tiến hành thay hoa, lọ hoa lên mộ liệt sĩ tại các Nghĩa trang liệt sĩ trên địa bàn tỉnh do Viettel tài trợ; đưa đoàn đại biểu dự Hội nghị biểu dương người có công với cách mạng tiêu biểu toàn quốc năm 2025, </w:t>
      </w:r>
      <w:r>
        <w:rPr>
          <w:shd w:val="clear" w:color="auto" w:fill="ffffff"/>
        </w:rPr>
        <w:t xml:space="preserve">tham dự Cuộc gặp mặt người có công, nhân chứng lịch sử tại Hà Nội.</w:t>
      </w:r>
      <w:r/>
    </w:p>
  </w:footnote>
  <w:footnote w:id="29">
    <w:p>
      <w:pPr>
        <w:pStyle w:val="2064"/>
        <w:pBdr/>
        <w:spacing/>
        <w:ind/>
        <w:jc w:val="both"/>
        <w:rPr/>
      </w:pPr>
      <w:r>
        <w:rPr>
          <w:rStyle w:val="2063"/>
        </w:rPr>
        <w:footnoteRef/>
      </w:r>
      <w:r>
        <w:t xml:space="preserve"> Đề nghị Cục Người có công và Quỹ Thiện tâm tặng quà tri ân cho 255 người có công với cách mạng trên địa bàn tỉnh nhân dịp Kỷ niệm 80 năm Quốc khánh nước Cộng hoà xã hội chủ nghĩa Việt Nam.</w:t>
      </w:r>
      <w:r/>
    </w:p>
  </w:footnote>
  <w:footnote w:id="30">
    <w:p>
      <w:pPr>
        <w:pStyle w:val="2064"/>
        <w:pBdr/>
        <w:spacing/>
        <w:ind/>
        <w:jc w:val="both"/>
        <w:rPr>
          <w:sz w:val="20"/>
          <w:szCs w:val="20"/>
        </w:rPr>
      </w:pPr>
      <w:r>
        <w:rPr>
          <w:sz w:val="20"/>
          <w:szCs w:val="20"/>
        </w:rPr>
        <w:footnoteRef/>
      </w:r>
      <w:r>
        <w:rPr>
          <w:sz w:val="20"/>
          <w:szCs w:val="20"/>
        </w:rPr>
        <w:t xml:space="preserve"> Trong tháng 8, tiếp nhận 303 phản ánh, tỷ lệ phản ánh đã xử lý đúng hạn đạt 61%. Lũy kế từ đầu năm đến nay: Tiếp nhận 2.027 phản ánh, tỷ lệ phản ánh đã xử lý đúng hạn đạt 86,63%.</w:t>
      </w:r>
      <w:r>
        <w:rPr>
          <w:sz w:val="20"/>
          <w:szCs w:val="20"/>
        </w:rPr>
      </w:r>
      <w:r>
        <w:rPr>
          <w:sz w:val="20"/>
          <w:szCs w:val="20"/>
        </w:rPr>
      </w:r>
    </w:p>
  </w:footnote>
  <w:footnote w:id="31">
    <w:p>
      <w:pPr>
        <w:pStyle w:val="2064"/>
        <w:pBdr/>
        <w:spacing/>
        <w:ind/>
        <w:jc w:val="both"/>
        <w:rPr>
          <w:sz w:val="20"/>
          <w:szCs w:val="20"/>
        </w:rPr>
      </w:pPr>
      <w:r>
        <w:rPr>
          <w:sz w:val="20"/>
          <w:szCs w:val="20"/>
        </w:rPr>
        <w:footnoteRef/>
      </w:r>
      <w:r>
        <w:rPr>
          <w:sz w:val="20"/>
          <w:szCs w:val="20"/>
        </w:rPr>
        <w:t xml:space="preserve"> Tỷ lệ hồ sơ đã giải quyết đúng hạn trên hệ thống một cửa điện tử đạt 99,42%; tỷ lệ trao đổi văn bản điện tử trong nội bộ và giữa các CQNN đạt 100%; tỷ lệ văn bản đi được ký số đạt 99,26%. Tỷ lệ sử dụng hộp thư điện tử đạt 90%. TTHC của tỉnh</w:t>
      </w:r>
      <w:r>
        <w:rPr>
          <w:sz w:val="20"/>
          <w:szCs w:val="20"/>
        </w:rPr>
        <w:t xml:space="preserve"> cung cấp trên Cổng DVC quốc gia: 1.513/2.056 TTHC cung cấp DVCTT một phần (đạt 73,59%); 429/2.056 TTHC cung cấp DVCTT toàn trình (đạt 20,87%); tỷ lệ nộp hồ sơ trực tuyến đạt 60,46%; tỷ lệ TTHC có DVC trực tuyến có phát sinh hồ sơ trên cổng DVCQG là 12,6%.</w:t>
      </w:r>
      <w:r>
        <w:rPr>
          <w:sz w:val="20"/>
          <w:szCs w:val="20"/>
        </w:rPr>
      </w:r>
      <w:r>
        <w:rPr>
          <w:sz w:val="20"/>
          <w:szCs w:val="20"/>
        </w:rPr>
      </w:r>
    </w:p>
  </w:footnote>
  <w:footnote w:id="32">
    <w:p>
      <w:pPr>
        <w:pStyle w:val="2064"/>
        <w:pBdr/>
        <w:spacing w:after="0"/>
        <w:ind/>
        <w:jc w:val="both"/>
        <w:rPr>
          <w:sz w:val="20"/>
          <w:szCs w:val="20"/>
        </w:rPr>
      </w:pPr>
      <w:r>
        <w:rPr>
          <w:rStyle w:val="2063"/>
          <w:sz w:val="20"/>
          <w:szCs w:val="20"/>
        </w:rPr>
        <w:footnoteRef/>
      </w:r>
      <w:r>
        <w:rPr>
          <w:sz w:val="20"/>
          <w:szCs w:val="20"/>
        </w:rPr>
        <w:t xml:space="preserve"> Hướng dẫn 15 cơ sở/doanh nghiệp đăng ký bảo hộ nhãn hiệu, gia hạn 05</w:t>
      </w:r>
      <w:r>
        <w:rPr>
          <w:sz w:val="20"/>
          <w:szCs w:val="20"/>
          <w:lang w:val="pt-BR"/>
        </w:rPr>
        <w:t xml:space="preserve"> </w:t>
      </w:r>
      <w:r>
        <w:rPr>
          <w:sz w:val="20"/>
          <w:szCs w:val="20"/>
        </w:rPr>
        <w:t xml:space="preserve">nhãn hiệu. Tiếp nhận 112 hồ sơ đăng ký kiểm tra chất lượng hàng hóa nhập khẩu nhóm 2.</w:t>
      </w:r>
      <w:r>
        <w:rPr>
          <w:sz w:val="20"/>
          <w:szCs w:val="20"/>
        </w:rPr>
      </w:r>
      <w:r>
        <w:rPr>
          <w:sz w:val="20"/>
          <w:szCs w:val="20"/>
        </w:rPr>
      </w:r>
    </w:p>
  </w:footnote>
  <w:footnote w:id="33">
    <w:p>
      <w:pPr>
        <w:pStyle w:val="2064"/>
        <w:pBdr/>
        <w:spacing w:after="0"/>
        <w:ind/>
        <w:jc w:val="both"/>
        <w:rPr>
          <w:rStyle w:val="2063"/>
          <w:sz w:val="20"/>
          <w:szCs w:val="20"/>
        </w:rPr>
      </w:pPr>
      <w:r>
        <w:rPr>
          <w:rStyle w:val="2063"/>
          <w:sz w:val="20"/>
          <w:szCs w:val="20"/>
        </w:rPr>
        <w:footnoteRef/>
      </w:r>
      <w:r>
        <w:rPr>
          <w:sz w:val="20"/>
          <w:szCs w:val="20"/>
        </w:rPr>
        <w:t xml:space="preserve"> Tổ chức khảo sát vị trí dự kiến tổ chức Lễ g</w:t>
      </w:r>
      <w:r>
        <w:rPr>
          <w:sz w:val="20"/>
          <w:szCs w:val="20"/>
        </w:rPr>
        <w:t xml:space="preserve">iao nhận quân năm 2026; theo dõi các địa phương tổng hợp kết quả xét duyệt tiêu chuẩn nhập ngũ năm 2026. Hoàn chỉnh hồ sơ nhập học 693 thí sinh vào các học viện, nhà trường trong quân đội; đăng ký 156 hồ sơ tuyển sinh đại học, cao đẳng ngành quân sự cơ sở.</w:t>
      </w:r>
      <w:r>
        <w:rPr>
          <w:rStyle w:val="2063"/>
          <w:sz w:val="20"/>
          <w:szCs w:val="20"/>
        </w:rPr>
      </w:r>
      <w:r>
        <w:rPr>
          <w:rStyle w:val="2063"/>
          <w:sz w:val="20"/>
          <w:szCs w:val="20"/>
        </w:rPr>
      </w:r>
    </w:p>
  </w:footnote>
  <w:footnote w:id="34">
    <w:p>
      <w:pPr>
        <w:pStyle w:val="2064"/>
        <w:pBdr/>
        <w:spacing w:after="0"/>
        <w:ind/>
        <w:jc w:val="both"/>
        <w:rPr>
          <w:sz w:val="20"/>
          <w:szCs w:val="20"/>
        </w:rPr>
      </w:pPr>
      <w:r>
        <w:rPr>
          <w:rStyle w:val="2063"/>
          <w:sz w:val="20"/>
          <w:szCs w:val="20"/>
        </w:rPr>
        <w:footnoteRef/>
      </w:r>
      <w:r>
        <w:rPr>
          <w:sz w:val="20"/>
          <w:szCs w:val="20"/>
        </w:rPr>
        <w:t xml:space="preserve"> Lực lượng 47 LLVT tỉnh đã viết, biên tập, đăng tải 12.932 </w:t>
      </w:r>
      <w:r>
        <w:rPr>
          <w:sz w:val="20"/>
          <w:szCs w:val="20"/>
        </w:rPr>
        <w:t xml:space="preserve">tin bài viết trên các Fangape,  Group; trong đó có bài có lượng tiếp cận lớn trên 10.000 – cao nhất 3.700.000 lượt người/bài. Chia sẽ, lan toả 45.371 lượt bài, bình luận 42.455 lượt bài. 4.490 tin, bài viết, clip trên page, tiếp cận 130.717.108 lượt người…</w:t>
      </w:r>
      <w:r>
        <w:rPr>
          <w:sz w:val="20"/>
          <w:szCs w:val="20"/>
        </w:rPr>
      </w:r>
      <w:r>
        <w:rPr>
          <w:sz w:val="20"/>
          <w:szCs w:val="20"/>
        </w:rPr>
      </w:r>
    </w:p>
  </w:footnote>
  <w:footnote w:id="35">
    <w:p>
      <w:pPr>
        <w:pStyle w:val="2064"/>
        <w:pBdr/>
        <w:spacing w:after="0"/>
        <w:ind/>
        <w:jc w:val="both"/>
        <w:rPr>
          <w:rStyle w:val="2063"/>
          <w:sz w:val="20"/>
          <w:szCs w:val="20"/>
          <w:vertAlign w:val="baseline"/>
        </w:rPr>
      </w:pPr>
      <w:r>
        <w:rPr>
          <w:rStyle w:val="2063"/>
          <w:sz w:val="20"/>
          <w:szCs w:val="20"/>
        </w:rPr>
        <w:footnoteRef/>
      </w:r>
      <w:r>
        <w:rPr>
          <w:rStyle w:val="2063"/>
          <w:sz w:val="20"/>
          <w:szCs w:val="20"/>
        </w:rPr>
        <w:t xml:space="preserve"> </w:t>
      </w:r>
      <w:r>
        <w:rPr>
          <w:sz w:val="20"/>
          <w:szCs w:val="20"/>
        </w:rPr>
        <w:t xml:space="preserve">T</w:t>
      </w:r>
      <w:r>
        <w:rPr>
          <w:rStyle w:val="2063"/>
          <w:sz w:val="20"/>
          <w:szCs w:val="20"/>
          <w:vertAlign w:val="baseline"/>
        </w:rPr>
        <w:t xml:space="preserve">háng </w:t>
      </w:r>
      <w:r>
        <w:rPr>
          <w:sz w:val="20"/>
          <w:szCs w:val="20"/>
        </w:rPr>
        <w:t xml:space="preserve">8</w:t>
      </w:r>
      <w:r>
        <w:rPr>
          <w:rStyle w:val="2063"/>
          <w:sz w:val="20"/>
          <w:szCs w:val="20"/>
          <w:vertAlign w:val="baseline"/>
        </w:rPr>
        <w:t xml:space="preserve">/2025, điều tra làm rõ 80/92 vụ xâm phạm trật tự an toàn xã hội, bắt xử lý </w:t>
      </w:r>
      <w:r>
        <w:rPr>
          <w:sz w:val="20"/>
          <w:szCs w:val="20"/>
        </w:rPr>
        <w:t xml:space="preserve">149</w:t>
      </w:r>
      <w:r>
        <w:rPr>
          <w:rStyle w:val="2063"/>
          <w:sz w:val="20"/>
          <w:szCs w:val="20"/>
          <w:vertAlign w:val="baseline"/>
        </w:rPr>
        <w:t xml:space="preserve"> đối tượng, thu hồi </w:t>
      </w:r>
      <w:r>
        <w:rPr>
          <w:sz w:val="20"/>
          <w:szCs w:val="20"/>
        </w:rPr>
        <w:t xml:space="preserve">3,188 tỷ</w:t>
      </w:r>
      <w:r>
        <w:rPr>
          <w:rStyle w:val="2063"/>
          <w:sz w:val="20"/>
          <w:szCs w:val="20"/>
          <w:vertAlign w:val="baseline"/>
        </w:rPr>
        <w:t xml:space="preserve"> đồng.</w:t>
      </w:r>
      <w:r>
        <w:rPr>
          <w:rStyle w:val="2063"/>
          <w:sz w:val="20"/>
          <w:szCs w:val="20"/>
          <w:vertAlign w:val="baseline"/>
        </w:rPr>
      </w:r>
      <w:r>
        <w:rPr>
          <w:rStyle w:val="2063"/>
          <w:sz w:val="20"/>
          <w:szCs w:val="20"/>
          <w:vertAlign w:val="baseline"/>
        </w:rPr>
      </w:r>
    </w:p>
  </w:footnote>
  <w:footnote w:id="36">
    <w:p>
      <w:pPr>
        <w:pStyle w:val="2064"/>
        <w:pBdr/>
        <w:spacing w:after="0"/>
        <w:ind/>
        <w:jc w:val="both"/>
        <w:rPr>
          <w:rStyle w:val="2063"/>
          <w:sz w:val="20"/>
          <w:szCs w:val="20"/>
          <w:vertAlign w:val="baseline"/>
        </w:rPr>
      </w:pPr>
      <w:r>
        <w:rPr>
          <w:rStyle w:val="2063"/>
          <w:sz w:val="20"/>
          <w:szCs w:val="20"/>
        </w:rPr>
        <w:footnoteRef/>
      </w:r>
      <w:r>
        <w:rPr>
          <w:rStyle w:val="2063"/>
          <w:sz w:val="20"/>
          <w:szCs w:val="20"/>
        </w:rPr>
        <w:t xml:space="preserve"> </w:t>
      </w:r>
      <w:r>
        <w:rPr>
          <w:sz w:val="20"/>
          <w:szCs w:val="20"/>
        </w:rPr>
        <w:t xml:space="preserve">T</w:t>
      </w:r>
      <w:r>
        <w:rPr>
          <w:rStyle w:val="2063"/>
          <w:sz w:val="20"/>
          <w:szCs w:val="20"/>
          <w:vertAlign w:val="baseline"/>
        </w:rPr>
        <w:t xml:space="preserve">háng </w:t>
      </w:r>
      <w:r>
        <w:rPr>
          <w:sz w:val="20"/>
          <w:szCs w:val="20"/>
        </w:rPr>
        <w:t xml:space="preserve">8</w:t>
      </w:r>
      <w:r>
        <w:rPr>
          <w:rStyle w:val="2063"/>
          <w:sz w:val="20"/>
          <w:szCs w:val="20"/>
          <w:vertAlign w:val="baseline"/>
        </w:rPr>
        <w:t xml:space="preserve">/2025, bắt </w:t>
      </w:r>
      <w:r>
        <w:rPr>
          <w:sz w:val="20"/>
          <w:szCs w:val="20"/>
        </w:rPr>
        <w:t xml:space="preserve">34</w:t>
      </w:r>
      <w:r>
        <w:rPr>
          <w:rStyle w:val="2063"/>
          <w:sz w:val="20"/>
          <w:szCs w:val="20"/>
          <w:vertAlign w:val="baseline"/>
        </w:rPr>
        <w:t xml:space="preserve"> vụ</w:t>
      </w:r>
      <w:r>
        <w:rPr>
          <w:sz w:val="20"/>
          <w:szCs w:val="20"/>
        </w:rPr>
        <w:t xml:space="preserve">, 14 đối tượng</w:t>
      </w:r>
      <w:r>
        <w:rPr>
          <w:rStyle w:val="2063"/>
          <w:sz w:val="20"/>
          <w:szCs w:val="20"/>
          <w:vertAlign w:val="baseline"/>
        </w:rPr>
        <w:t xml:space="preserve"> tàng trữ, vận chuyển, buôn bán hàng cấm</w:t>
      </w:r>
      <w:r>
        <w:rPr>
          <w:sz w:val="20"/>
          <w:szCs w:val="20"/>
        </w:rPr>
        <w:t xml:space="preserve">, hàng hoá không hoá đơn chứng từ;b</w:t>
      </w:r>
      <w:r>
        <w:rPr>
          <w:rStyle w:val="2063"/>
          <w:sz w:val="20"/>
          <w:szCs w:val="20"/>
          <w:vertAlign w:val="baseline"/>
        </w:rPr>
        <w:t xml:space="preserve">ắt </w:t>
      </w:r>
      <w:r>
        <w:rPr>
          <w:sz w:val="20"/>
          <w:szCs w:val="20"/>
        </w:rPr>
        <w:t xml:space="preserve">35 </w:t>
      </w:r>
      <w:r>
        <w:rPr>
          <w:rStyle w:val="2063"/>
          <w:sz w:val="20"/>
          <w:szCs w:val="20"/>
          <w:vertAlign w:val="baseline"/>
        </w:rPr>
        <w:t xml:space="preserve">vụ</w:t>
      </w:r>
      <w:r>
        <w:rPr>
          <w:sz w:val="20"/>
          <w:szCs w:val="20"/>
        </w:rPr>
        <w:t xml:space="preserve">, 67</w:t>
      </w:r>
      <w:r>
        <w:rPr>
          <w:rStyle w:val="2063"/>
          <w:sz w:val="20"/>
          <w:szCs w:val="20"/>
          <w:vertAlign w:val="baseline"/>
        </w:rPr>
        <w:t xml:space="preserve"> đối tượng vận chuyển, mua bán, tàng trữ, tổ chức sử dụng trái phép chất ma túy; bắt 0</w:t>
      </w:r>
      <w:r>
        <w:rPr>
          <w:sz w:val="20"/>
          <w:szCs w:val="20"/>
        </w:rPr>
        <w:t xml:space="preserve">5</w:t>
      </w:r>
      <w:r>
        <w:rPr>
          <w:rStyle w:val="2063"/>
          <w:sz w:val="20"/>
          <w:szCs w:val="20"/>
          <w:vertAlign w:val="baseline"/>
        </w:rPr>
        <w:t xml:space="preserve"> đối tượng </w:t>
      </w:r>
      <w:r>
        <w:rPr>
          <w:sz w:val="20"/>
          <w:szCs w:val="20"/>
        </w:rPr>
        <w:t xml:space="preserve">có quyết định </w:t>
      </w:r>
      <w:r>
        <w:rPr>
          <w:rStyle w:val="2063"/>
          <w:sz w:val="20"/>
          <w:szCs w:val="20"/>
          <w:vertAlign w:val="baseline"/>
        </w:rPr>
        <w:t xml:space="preserve">truy nã và hỗ trợ công an các tỉnh/thành bắt 0</w:t>
      </w:r>
      <w:r>
        <w:rPr>
          <w:sz w:val="20"/>
          <w:szCs w:val="20"/>
        </w:rPr>
        <w:t xml:space="preserve">5</w:t>
      </w:r>
      <w:r>
        <w:rPr>
          <w:rStyle w:val="2063"/>
          <w:sz w:val="20"/>
          <w:szCs w:val="20"/>
          <w:vertAlign w:val="baseline"/>
        </w:rPr>
        <w:t xml:space="preserve"> đối tượng truy nã</w:t>
      </w:r>
      <w:r>
        <w:rPr>
          <w:sz w:val="20"/>
          <w:szCs w:val="20"/>
        </w:rPr>
        <w:t xml:space="preserve">;…</w:t>
      </w:r>
      <w:r>
        <w:rPr>
          <w:rStyle w:val="2063"/>
          <w:sz w:val="20"/>
          <w:szCs w:val="20"/>
          <w:vertAlign w:val="baseline"/>
        </w:rPr>
      </w:r>
      <w:r>
        <w:rPr>
          <w:rStyle w:val="2063"/>
          <w:sz w:val="20"/>
          <w:szCs w:val="20"/>
          <w:vertAlign w:val="baseline"/>
        </w:rPr>
      </w:r>
    </w:p>
  </w:footnote>
  <w:footnote w:id="37">
    <w:p>
      <w:pPr>
        <w:pStyle w:val="2064"/>
        <w:pBdr/>
        <w:spacing w:after="0"/>
        <w:ind/>
        <w:jc w:val="both"/>
        <w:rPr>
          <w:rStyle w:val="2063"/>
          <w:sz w:val="20"/>
          <w:szCs w:val="20"/>
          <w:vertAlign w:val="baseline"/>
        </w:rPr>
      </w:pPr>
      <w:r>
        <w:rPr>
          <w:rStyle w:val="2063"/>
          <w:sz w:val="20"/>
          <w:szCs w:val="20"/>
        </w:rPr>
        <w:footnoteRef/>
      </w:r>
      <w:r>
        <w:rPr>
          <w:rStyle w:val="2063"/>
          <w:sz w:val="20"/>
          <w:szCs w:val="20"/>
        </w:rPr>
        <w:t xml:space="preserve"> </w:t>
      </w:r>
      <w:r>
        <w:rPr>
          <w:sz w:val="20"/>
          <w:szCs w:val="20"/>
        </w:rPr>
        <w:t xml:space="preserve">T</w:t>
      </w:r>
      <w:r>
        <w:rPr>
          <w:rStyle w:val="2063"/>
          <w:sz w:val="20"/>
          <w:szCs w:val="20"/>
          <w:vertAlign w:val="baseline"/>
        </w:rPr>
        <w:t xml:space="preserve">háng </w:t>
      </w:r>
      <w:r>
        <w:rPr>
          <w:sz w:val="20"/>
          <w:szCs w:val="20"/>
        </w:rPr>
        <w:t xml:space="preserve">8</w:t>
      </w:r>
      <w:r>
        <w:rPr>
          <w:rStyle w:val="2063"/>
          <w:sz w:val="20"/>
          <w:szCs w:val="20"/>
          <w:vertAlign w:val="baseline"/>
        </w:rPr>
        <w:t xml:space="preserve">/2025, kiểm soát, hướng dẫn</w:t>
      </w:r>
      <w:r>
        <w:rPr>
          <w:sz w:val="20"/>
          <w:szCs w:val="20"/>
        </w:rPr>
        <w:t xml:space="preserve">,</w:t>
      </w:r>
      <w:r>
        <w:rPr>
          <w:rStyle w:val="2063"/>
          <w:sz w:val="20"/>
          <w:szCs w:val="20"/>
          <w:vertAlign w:val="baseline"/>
        </w:rPr>
        <w:t xml:space="preserve"> t</w:t>
      </w:r>
      <w:r>
        <w:rPr>
          <w:sz w:val="20"/>
          <w:szCs w:val="20"/>
        </w:rPr>
        <w:t xml:space="preserve">uyên truyền</w:t>
      </w:r>
      <w:r>
        <w:rPr>
          <w:rStyle w:val="2063"/>
          <w:sz w:val="20"/>
          <w:szCs w:val="20"/>
          <w:vertAlign w:val="baseline"/>
        </w:rPr>
        <w:t xml:space="preserve"> </w:t>
      </w:r>
      <w:r>
        <w:rPr>
          <w:sz w:val="20"/>
          <w:szCs w:val="20"/>
        </w:rPr>
        <w:t xml:space="preserve">huấn luyện kiến thức về PCCC và CNCH được 35 lượt, </w:t>
      </w:r>
      <w:r>
        <w:rPr>
          <w:szCs w:val="20"/>
          <w:shd w:val="clear" w:color="auto" w:fill="ffffff"/>
          <w:lang w:val="sv-SE"/>
        </w:rPr>
        <w:t xml:space="preserve">có 1.125 người tham gia.</w:t>
      </w:r>
      <w:r>
        <w:rPr>
          <w:rStyle w:val="2063"/>
          <w:sz w:val="20"/>
          <w:szCs w:val="20"/>
          <w:vertAlign w:val="baseline"/>
        </w:rPr>
      </w:r>
      <w:r>
        <w:rPr>
          <w:rStyle w:val="2063"/>
          <w:sz w:val="20"/>
          <w:szCs w:val="20"/>
          <w:vertAlign w:val="baseline"/>
        </w:rPr>
      </w:r>
    </w:p>
  </w:footnote>
  <w:footnote w:id="38">
    <w:p>
      <w:pPr>
        <w:pStyle w:val="2064"/>
        <w:pBdr/>
        <w:spacing w:after="0"/>
        <w:ind/>
        <w:jc w:val="both"/>
        <w:rPr>
          <w:rStyle w:val="2063"/>
          <w:sz w:val="20"/>
          <w:szCs w:val="20"/>
        </w:rPr>
      </w:pPr>
      <w:r>
        <w:rPr>
          <w:rStyle w:val="2063"/>
          <w:sz w:val="20"/>
          <w:szCs w:val="20"/>
          <w:vertAlign w:val="baseline"/>
        </w:rPr>
        <w:footnoteRef/>
      </w:r>
      <w:r>
        <w:rPr>
          <w:rStyle w:val="2063"/>
          <w:sz w:val="20"/>
          <w:szCs w:val="20"/>
          <w:vertAlign w:val="baseline"/>
        </w:rPr>
        <w:t xml:space="preserve"> </w:t>
      </w:r>
      <w:r>
        <w:rPr>
          <w:sz w:val="20"/>
          <w:szCs w:val="20"/>
        </w:rPr>
        <w:t xml:space="preserve">T</w:t>
      </w:r>
      <w:r>
        <w:rPr>
          <w:rStyle w:val="2063"/>
          <w:sz w:val="20"/>
          <w:szCs w:val="20"/>
          <w:vertAlign w:val="baseline"/>
        </w:rPr>
        <w:t xml:space="preserve">háng</w:t>
      </w:r>
      <w:r>
        <w:rPr>
          <w:rStyle w:val="2063"/>
          <w:sz w:val="20"/>
          <w:szCs w:val="20"/>
        </w:rPr>
        <w:t xml:space="preserve"> </w:t>
      </w:r>
      <w:r>
        <w:rPr>
          <w:sz w:val="20"/>
          <w:szCs w:val="20"/>
        </w:rPr>
        <w:t xml:space="preserve">8</w:t>
      </w:r>
      <w:r>
        <w:rPr>
          <w:rStyle w:val="2063"/>
          <w:sz w:val="20"/>
          <w:szCs w:val="20"/>
        </w:rPr>
        <w:t xml:space="preserve">/2025,</w:t>
      </w:r>
      <w:r>
        <w:rPr>
          <w:sz w:val="20"/>
          <w:szCs w:val="20"/>
        </w:rPr>
        <w:t xml:space="preserve"> tuần tra kiểm soát phát hiện, xử lý 4.292 trường hợp vi phạm trật tự an toàn giao thông, phạt 14,034 tỷ đồng (trong đó: đường thủy phát hiện 200 trường hợp vi phạm, phạt 419 triệu đồng).</w:t>
      </w:r>
      <w:r>
        <w:rPr>
          <w:rStyle w:val="2063"/>
          <w:sz w:val="20"/>
          <w:szCs w:val="20"/>
        </w:rPr>
      </w:r>
      <w:r>
        <w:rPr>
          <w:rStyle w:val="2063"/>
          <w:sz w:val="20"/>
          <w:szCs w:val="20"/>
        </w:rPr>
      </w:r>
    </w:p>
  </w:footnote>
  <w:footnote w:id="39">
    <w:p>
      <w:pPr>
        <w:pStyle w:val="2064"/>
        <w:pBdr/>
        <w:spacing w:after="0"/>
        <w:ind/>
        <w:jc w:val="both"/>
        <w:rPr>
          <w:rStyle w:val="2063"/>
          <w:sz w:val="20"/>
          <w:szCs w:val="20"/>
        </w:rPr>
      </w:pPr>
      <w:r>
        <w:rPr>
          <w:rStyle w:val="2063"/>
          <w:sz w:val="20"/>
          <w:szCs w:val="20"/>
        </w:rPr>
        <w:footnoteRef/>
      </w:r>
      <w:r>
        <w:rPr>
          <w:sz w:val="20"/>
          <w:szCs w:val="20"/>
        </w:rPr>
        <w:t xml:space="preserve"> T</w:t>
      </w:r>
      <w:r>
        <w:rPr>
          <w:rStyle w:val="2063"/>
          <w:sz w:val="20"/>
          <w:szCs w:val="20"/>
          <w:vertAlign w:val="baseline"/>
        </w:rPr>
        <w:t xml:space="preserve">háng </w:t>
      </w:r>
      <w:r>
        <w:rPr>
          <w:sz w:val="20"/>
          <w:szCs w:val="20"/>
        </w:rPr>
        <w:t xml:space="preserve">8</w:t>
      </w:r>
      <w:r>
        <w:rPr>
          <w:rStyle w:val="2063"/>
          <w:sz w:val="20"/>
          <w:szCs w:val="20"/>
          <w:vertAlign w:val="baseline"/>
        </w:rPr>
        <w:t xml:space="preserve">/2025</w:t>
      </w:r>
      <w:r>
        <w:rPr>
          <w:sz w:val="20"/>
          <w:szCs w:val="20"/>
        </w:rPr>
        <w:t xml:space="preserve">, xảy ra 47/48 vụ tai nạn giao thông đường bộ, chết 41/35 người, bị thương 09/22 người, thiệt hại tài sản 544 triệu đồng</w:t>
      </w:r>
      <w:r>
        <w:rPr>
          <w:rStyle w:val="2063"/>
          <w:sz w:val="20"/>
          <w:szCs w:val="20"/>
        </w:rPr>
        <w:t xml:space="preserve">.</w:t>
      </w:r>
      <w:r>
        <w:rPr>
          <w:rStyle w:val="2063"/>
          <w:sz w:val="20"/>
          <w:szCs w:val="20"/>
        </w:rPr>
      </w:r>
      <w:r>
        <w:rPr>
          <w:rStyle w:val="2063"/>
          <w:sz w:val="20"/>
          <w:szCs w:val="20"/>
        </w:rPr>
      </w:r>
    </w:p>
  </w:footnote>
  <w:footnote w:id="40">
    <w:p>
      <w:pPr>
        <w:pBdr/>
        <w:spacing/>
        <w:ind/>
        <w:jc w:val="both"/>
        <w:rPr>
          <w:sz w:val="20"/>
          <w:szCs w:val="20"/>
        </w:rPr>
      </w:pPr>
      <w:r>
        <w:rPr>
          <w:rStyle w:val="2063"/>
          <w:sz w:val="20"/>
          <w:szCs w:val="20"/>
        </w:rPr>
        <w:footnoteRef/>
      </w:r>
      <w:r>
        <w:rPr>
          <w:sz w:val="20"/>
          <w:szCs w:val="20"/>
        </w:rPr>
        <w:t xml:space="preserve"> L</w:t>
      </w:r>
      <w:r>
        <w:rPr>
          <w:spacing w:val="2"/>
          <w:sz w:val="20"/>
          <w:szCs w:val="20"/>
        </w:rPr>
        <w:t xml:space="preserve">ực lượng Côn</w:t>
      </w:r>
      <w:r>
        <w:rPr>
          <w:spacing w:val="2"/>
          <w:sz w:val="20"/>
          <w:szCs w:val="20"/>
        </w:rPr>
        <w:t xml:space="preserve">g an các cấp phối hợp Mặt trận Tổ quốc, các ngành, đoàn thể, cơ quan, doanh nghiệp, cơ sở giáo dục tổ chức tuyên truyền tuyên truyền trực tiếp 370 cuộc có 59.475 lượt người dự, thông qua tiếng loa an ninh trật tự lưu động và đài phát thanh tuyên truyền đượ</w:t>
      </w:r>
      <w:r>
        <w:rPr>
          <w:spacing w:val="2"/>
          <w:sz w:val="20"/>
          <w:szCs w:val="20"/>
        </w:rPr>
        <w:t xml:space="preserve">c 1.395 lượt, phát hành 2.081 tờ thông báo, cảnh báo phương thức, thủ đoạn hoạt động của tội phạm, tệ nạn xã hội và các hành vi vi phạm pháp luật về ANTT; tuyên tuyền 850 bản tin, hình ảnh trên Nhóm “Zalo tuyên truyền, phổ biến pháp luật và phòng, chống tộ</w:t>
      </w:r>
      <w:r>
        <w:rPr>
          <w:spacing w:val="2"/>
          <w:sz w:val="20"/>
          <w:szCs w:val="20"/>
        </w:rPr>
        <w:t xml:space="preserve">i phạm”và lồng ghép tuyên truyền với nhiều hình thức đa dạng, phong phú. Qua đó, Nhân dân cung cấp nhiều nguồn tin có giá trị, giúp lực lượng Công an xử lý kịp thời các đối tượng vi phạm pháp luật, nhiều vụ việc có liên quan đến an ninh, trật tự tại cơ sở.</w:t>
      </w:r>
      <w:r>
        <w:rPr>
          <w:sz w:val="20"/>
          <w:szCs w:val="20"/>
        </w:rPr>
      </w:r>
      <w:r>
        <w:rPr>
          <w:sz w:val="20"/>
          <w:szCs w:val="20"/>
        </w:rPr>
      </w:r>
    </w:p>
  </w:footnote>
  <w:footnote w:id="41">
    <w:p>
      <w:pPr>
        <w:pStyle w:val="2064"/>
        <w:pBdr/>
        <w:spacing/>
        <w:ind w:firstLine="567"/>
        <w:rPr>
          <w:sz w:val="20"/>
          <w:szCs w:val="20"/>
        </w:rPr>
      </w:pPr>
      <w:r>
        <w:rPr>
          <w:rStyle w:val="2063"/>
          <w:sz w:val="20"/>
          <w:szCs w:val="20"/>
        </w:rPr>
        <w:footnoteRef/>
      </w:r>
      <w:r>
        <w:rPr>
          <w:sz w:val="20"/>
          <w:szCs w:val="20"/>
        </w:rPr>
        <w:t xml:space="preserve"> trao tặng 255 phần quà</w:t>
      </w:r>
      <w:r>
        <w:rPr>
          <w:bCs/>
          <w:sz w:val="20"/>
          <w:szCs w:val="20"/>
        </w:rPr>
        <w:t xml:space="preserve"> do Quỹ Thiện Tâm tài trợ (</w:t>
      </w:r>
      <w:r>
        <w:rPr>
          <w:sz w:val="20"/>
          <w:szCs w:val="20"/>
        </w:rPr>
        <w:t xml:space="preserve">Mẹ Việt Nam anh hùng: 62 người;  Thương binh có tỷ lệ tổn thương cơ thể từ 81% trở lên: 193 người)</w:t>
      </w:r>
      <w:r>
        <w:rPr>
          <w:sz w:val="20"/>
          <w:szCs w:val="20"/>
        </w:rPr>
      </w:r>
      <w:r>
        <w:rPr>
          <w:sz w:val="20"/>
          <w:szCs w:val="20"/>
        </w:rP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847286376"/>
      <w:docPartObj>
        <w:docPartGallery w:val="Page Numbers (Top of Page)"/>
        <w:docPartUnique w:val="true"/>
      </w:docPartObj>
      <w:rPr/>
    </w:sdtPr>
    <w:sdtContent>
      <w:p>
        <w:pPr>
          <w:pStyle w:val="2070"/>
          <w:pBdr/>
          <w:spacing/>
          <w:ind/>
          <w:jc w:val="center"/>
          <w:rPr>
            <w:rFonts w:ascii="Times New Roman" w:hAnsi="Times New Roman"/>
          </w:rPr>
        </w:pPr>
        <w:r>
          <w:rPr>
            <w:rFonts w:ascii="Times New Roman" w:hAnsi="Times New Roman"/>
            <w:szCs w:val="28"/>
          </w:rPr>
          <w:fldChar w:fldCharType="begin"/>
        </w:r>
        <w:r>
          <w:rPr>
            <w:rFonts w:ascii="Times New Roman" w:hAnsi="Times New Roman"/>
            <w:szCs w:val="28"/>
          </w:rPr>
          <w:instrText xml:space="preserve"> PAGE   \* MERGEFORMAT </w:instrText>
        </w:r>
        <w:r>
          <w:rPr>
            <w:rFonts w:ascii="Times New Roman" w:hAnsi="Times New Roman"/>
            <w:szCs w:val="28"/>
          </w:rPr>
          <w:fldChar w:fldCharType="separate"/>
        </w:r>
        <w:r>
          <w:rPr>
            <w:rFonts w:ascii="Times New Roman" w:hAnsi="Times New Roman"/>
            <w:szCs w:val="28"/>
          </w:rPr>
          <w:t xml:space="preserve">10</w:t>
        </w:r>
        <w:r>
          <w:rPr>
            <w:rFonts w:ascii="Times New Roman" w:hAnsi="Times New Roman"/>
            <w:szCs w:val="28"/>
          </w:rPr>
          <w:fldChar w:fldCharType="end"/>
        </w:r>
        <w:r>
          <w:rPr>
            <w:rFonts w:ascii="Times New Roman" w:hAnsi="Times New Roman"/>
          </w:rPr>
        </w:r>
        <w:r>
          <w:rPr>
            <w:rFonts w:ascii="Times New Roman" w:hAnsi="Times New Roman"/>
          </w:rPr>
        </w:r>
      </w:p>
    </w:sdtContent>
  </w:sdt>
  <w:p>
    <w:pPr>
      <w:pStyle w:val="2070"/>
      <w:pBdr/>
      <w:spacing/>
      <w:ind/>
      <w:rPr/>
    </w:pP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2070"/>
      <w:framePr w:hAnchor="margin" w:vAnchor="text" w:wrap="around" w:xAlign="center" w:y="1"/>
      <w:pBdr/>
      <w:spacing/>
      <w:ind/>
      <w:rPr>
        <w:rStyle w:val="2069"/>
      </w:rPr>
    </w:pPr>
    <w:r>
      <w:rPr>
        <w:rStyle w:val="2069"/>
      </w:rPr>
      <w:fldChar w:fldCharType="begin"/>
    </w:r>
    <w:r>
      <w:rPr>
        <w:rStyle w:val="2069"/>
      </w:rPr>
      <w:instrText xml:space="preserve">PAGE  </w:instrText>
    </w:r>
    <w:r>
      <w:rPr>
        <w:rStyle w:val="2069"/>
      </w:rPr>
      <w:fldChar w:fldCharType="separate"/>
    </w:r>
    <w:r>
      <w:rPr>
        <w:rStyle w:val="2069"/>
      </w:rPr>
      <w:t xml:space="preserve">2</w:t>
    </w:r>
    <w:r>
      <w:rPr>
        <w:rStyle w:val="2069"/>
      </w:rPr>
      <w:fldChar w:fldCharType="end"/>
    </w:r>
    <w:r>
      <w:rPr>
        <w:rStyle w:val="2069"/>
      </w:rPr>
    </w:r>
    <w:r>
      <w:rPr>
        <w:rStyle w:val="2069"/>
      </w:rPr>
    </w:r>
  </w:p>
  <w:p>
    <w:pPr>
      <w:pStyle w:val="2070"/>
      <w:pBdr/>
      <w:spacing/>
      <w:ind/>
      <w:rPr/>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tabs>
          <w:tab w:val="left" w:leader="none" w:pos="720"/>
        </w:tabs>
        <w:spacing/>
        <w:ind w:hanging="360" w:left="720"/>
      </w:pPr>
      <w:rPr/>
      <w:start w:val="1"/>
      <w:suff w:val="tab"/>
    </w:lvl>
    <w:lvl w:ilvl="1">
      <w:isLgl w:val="false"/>
      <w:lvlJc w:val="left"/>
      <w:lvlText w:val="%2."/>
      <w:numFmt w:val="decimal"/>
      <w:pPr>
        <w:pBdr/>
        <w:tabs>
          <w:tab w:val="left" w:leader="none" w:pos="1440"/>
        </w:tabs>
        <w:spacing/>
        <w:ind w:hanging="360" w:left="1440"/>
      </w:pPr>
      <w:rPr/>
      <w:start w:val="1"/>
      <w:suff w:val="tab"/>
    </w:lvl>
    <w:lvl w:ilvl="2">
      <w:isLgl w:val="false"/>
      <w:lvlJc w:val="left"/>
      <w:lvlText w:val="%3."/>
      <w:numFmt w:val="decimal"/>
      <w:pPr>
        <w:pBdr/>
        <w:tabs>
          <w:tab w:val="left" w:leader="none" w:pos="2160"/>
        </w:tabs>
        <w:spacing/>
        <w:ind w:hanging="360" w:left="2160"/>
      </w:pPr>
      <w:rPr/>
      <w:start w:val="1"/>
      <w:suff w:val="tab"/>
    </w:lvl>
    <w:lvl w:ilvl="3">
      <w:isLgl w:val="false"/>
      <w:lvlJc w:val="left"/>
      <w:lvlText w:val="%4."/>
      <w:numFmt w:val="decimal"/>
      <w:pPr>
        <w:pBdr/>
        <w:tabs>
          <w:tab w:val="left" w:leader="none" w:pos="2880"/>
        </w:tabs>
        <w:spacing/>
        <w:ind w:hanging="360" w:left="2880"/>
      </w:pPr>
      <w:rPr/>
      <w:start w:val="1"/>
      <w:suff w:val="tab"/>
    </w:lvl>
    <w:lvl w:ilvl="4">
      <w:isLgl w:val="false"/>
      <w:lvlJc w:val="left"/>
      <w:lvlText w:val="%5."/>
      <w:numFmt w:val="decimal"/>
      <w:pPr>
        <w:pBdr/>
        <w:tabs>
          <w:tab w:val="left" w:leader="none" w:pos="3600"/>
        </w:tabs>
        <w:spacing/>
        <w:ind w:hanging="360" w:left="3600"/>
      </w:pPr>
      <w:rPr/>
      <w:start w:val="1"/>
      <w:suff w:val="tab"/>
    </w:lvl>
    <w:lvl w:ilvl="5">
      <w:isLgl w:val="false"/>
      <w:lvlJc w:val="left"/>
      <w:lvlText w:val="%6."/>
      <w:numFmt w:val="decimal"/>
      <w:pPr>
        <w:pBdr/>
        <w:tabs>
          <w:tab w:val="left" w:leader="none" w:pos="4320"/>
        </w:tabs>
        <w:spacing/>
        <w:ind w:hanging="360" w:left="4320"/>
      </w:pPr>
      <w:rPr/>
      <w:start w:val="1"/>
      <w:suff w:val="tab"/>
    </w:lvl>
    <w:lvl w:ilvl="6">
      <w:isLgl w:val="false"/>
      <w:lvlJc w:val="left"/>
      <w:lvlText w:val="%7."/>
      <w:numFmt w:val="decimal"/>
      <w:pPr>
        <w:pBdr/>
        <w:tabs>
          <w:tab w:val="left" w:leader="none" w:pos="5040"/>
        </w:tabs>
        <w:spacing/>
        <w:ind w:hanging="360" w:left="5040"/>
      </w:pPr>
      <w:rPr/>
      <w:start w:val="1"/>
      <w:suff w:val="tab"/>
    </w:lvl>
    <w:lvl w:ilvl="7">
      <w:isLgl w:val="false"/>
      <w:lvlJc w:val="left"/>
      <w:lvlText w:val="%8."/>
      <w:numFmt w:val="decimal"/>
      <w:pPr>
        <w:pBdr/>
        <w:tabs>
          <w:tab w:val="left" w:leader="none" w:pos="5760"/>
        </w:tabs>
        <w:spacing/>
        <w:ind w:hanging="360" w:left="5760"/>
      </w:pPr>
      <w:rPr/>
      <w:start w:val="1"/>
      <w:suff w:val="tab"/>
    </w:lvl>
    <w:lvl w:ilvl="8">
      <w:isLgl w:val="false"/>
      <w:lvlJc w:val="left"/>
      <w:lvlText w:val="%9."/>
      <w:numFmt w:val="decimal"/>
      <w:pPr>
        <w:pBdr/>
        <w:tabs>
          <w:tab w:val="left" w:leader="none" w:pos="6480"/>
        </w:tabs>
        <w:spacing/>
        <w:ind w:hanging="360" w:left="6480"/>
      </w:pPr>
      <w:rPr/>
      <w:start w:val="1"/>
      <w:suff w:val="tab"/>
    </w:lvl>
  </w:abstractNum>
  <w:abstractNum w:abstractNumId="1">
    <w:lvl w:ilvl="0">
      <w:isLgl w:val="false"/>
      <w:lvlJc w:val="left"/>
      <w:lvlText w:val="%1."/>
      <w:numFmt w:val="decimal"/>
      <w:pPr>
        <w:pBdr/>
        <w:spacing/>
        <w:ind w:hanging="450" w:left="450"/>
      </w:pPr>
      <w:rPr>
        <w:rFonts w:hint="default"/>
        <w:b/>
      </w:rPr>
      <w:start w:val="2"/>
      <w:suff w:val="tab"/>
    </w:lvl>
    <w:lvl w:ilvl="1">
      <w:isLgl w:val="false"/>
      <w:lvlJc w:val="left"/>
      <w:lvlText w:val="%1.%2."/>
      <w:numFmt w:val="decimal"/>
      <w:pPr>
        <w:pBdr/>
        <w:spacing/>
        <w:ind w:hanging="720" w:left="1429"/>
      </w:pPr>
      <w:rPr>
        <w:rFonts w:hint="default"/>
        <w:b/>
      </w:rPr>
      <w:start w:val="1"/>
      <w:suff w:val="tab"/>
    </w:lvl>
    <w:lvl w:ilvl="2">
      <w:isLgl w:val="false"/>
      <w:lvlJc w:val="left"/>
      <w:lvlText w:val="%1.%2.%3."/>
      <w:numFmt w:val="decimal"/>
      <w:pPr>
        <w:pBdr/>
        <w:spacing/>
        <w:ind w:hanging="720" w:left="2138"/>
      </w:pPr>
      <w:rPr>
        <w:rFonts w:hint="default"/>
        <w:b/>
      </w:rPr>
      <w:start w:val="1"/>
      <w:suff w:val="tab"/>
    </w:lvl>
    <w:lvl w:ilvl="3">
      <w:isLgl w:val="false"/>
      <w:lvlJc w:val="left"/>
      <w:lvlText w:val="%1.%2.%3.%4."/>
      <w:numFmt w:val="decimal"/>
      <w:pPr>
        <w:pBdr/>
        <w:spacing/>
        <w:ind w:hanging="1080" w:left="3207"/>
      </w:pPr>
      <w:rPr>
        <w:rFonts w:hint="default"/>
        <w:b/>
      </w:rPr>
      <w:start w:val="1"/>
      <w:suff w:val="tab"/>
    </w:lvl>
    <w:lvl w:ilvl="4">
      <w:isLgl w:val="false"/>
      <w:lvlJc w:val="left"/>
      <w:lvlText w:val="%1.%2.%3.%4.%5."/>
      <w:numFmt w:val="decimal"/>
      <w:pPr>
        <w:pBdr/>
        <w:spacing/>
        <w:ind w:hanging="1080" w:left="3916"/>
      </w:pPr>
      <w:rPr>
        <w:rFonts w:hint="default"/>
        <w:b/>
      </w:rPr>
      <w:start w:val="1"/>
      <w:suff w:val="tab"/>
    </w:lvl>
    <w:lvl w:ilvl="5">
      <w:isLgl w:val="false"/>
      <w:lvlJc w:val="left"/>
      <w:lvlText w:val="%1.%2.%3.%4.%5.%6."/>
      <w:numFmt w:val="decimal"/>
      <w:pPr>
        <w:pBdr/>
        <w:spacing/>
        <w:ind w:hanging="1440" w:left="4985"/>
      </w:pPr>
      <w:rPr>
        <w:rFonts w:hint="default"/>
        <w:b/>
      </w:rPr>
      <w:start w:val="1"/>
      <w:suff w:val="tab"/>
    </w:lvl>
    <w:lvl w:ilvl="6">
      <w:isLgl w:val="false"/>
      <w:lvlJc w:val="left"/>
      <w:lvlText w:val="%1.%2.%3.%4.%5.%6.%7."/>
      <w:numFmt w:val="decimal"/>
      <w:pPr>
        <w:pBdr/>
        <w:spacing/>
        <w:ind w:hanging="1800" w:left="6054"/>
      </w:pPr>
      <w:rPr>
        <w:rFonts w:hint="default"/>
        <w:b/>
      </w:rPr>
      <w:start w:val="1"/>
      <w:suff w:val="tab"/>
    </w:lvl>
    <w:lvl w:ilvl="7">
      <w:isLgl w:val="false"/>
      <w:lvlJc w:val="left"/>
      <w:lvlText w:val="%1.%2.%3.%4.%5.%6.%7.%8."/>
      <w:numFmt w:val="decimal"/>
      <w:pPr>
        <w:pBdr/>
        <w:spacing/>
        <w:ind w:hanging="1800" w:left="6763"/>
      </w:pPr>
      <w:rPr>
        <w:rFonts w:hint="default"/>
        <w:b/>
      </w:rPr>
      <w:start w:val="1"/>
      <w:suff w:val="tab"/>
    </w:lvl>
    <w:lvl w:ilvl="8">
      <w:isLgl w:val="false"/>
      <w:lvlJc w:val="left"/>
      <w:lvlText w:val="%1.%2.%3.%4.%5.%6.%7.%8.%9."/>
      <w:numFmt w:val="decimal"/>
      <w:pPr>
        <w:pBdr/>
        <w:spacing/>
        <w:ind w:hanging="2160" w:left="7832"/>
      </w:pPr>
      <w:rPr>
        <w:rFonts w:hint="default"/>
        <w:b/>
      </w:rPr>
      <w:start w:val="1"/>
      <w:suff w:val="tab"/>
    </w:lvl>
  </w:abstractNum>
  <w:abstractNum w:abstractNumId="2">
    <w:lvl w:ilvl="0">
      <w:isLgl w:val="false"/>
      <w:lvlJc w:val="left"/>
      <w:lvlText w:val="%1."/>
      <w:numFmt w:val="decimal"/>
      <w:pPr>
        <w:pBdr/>
        <w:spacing/>
        <w:ind w:hanging="360" w:left="1069"/>
      </w:pPr>
      <w:rPr>
        <w:rFonts w:hint="default"/>
        <w:b/>
      </w:rPr>
      <w:start w:val="1"/>
      <w:suff w:val="tab"/>
    </w:lvl>
    <w:lvl w:ilvl="1">
      <w:isLgl w:val="false"/>
      <w:lvlJc w:val="left"/>
      <w:lvlText w:val="%2."/>
      <w:numFmt w:val="lowerLetter"/>
      <w:pPr>
        <w:pBdr/>
        <w:spacing/>
        <w:ind w:hanging="360" w:left="1789"/>
      </w:pPr>
      <w:rPr/>
      <w:start w:val="1"/>
      <w:suff w:val="tab"/>
    </w:lvl>
    <w:lvl w:ilvl="2">
      <w:isLgl w:val="false"/>
      <w:lvlJc w:val="right"/>
      <w:lvlText w:val="%3."/>
      <w:numFmt w:val="lowerRoman"/>
      <w:pPr>
        <w:pBdr/>
        <w:spacing/>
        <w:ind w:hanging="180" w:left="2509"/>
      </w:pPr>
      <w:rPr/>
      <w:start w:val="1"/>
      <w:suff w:val="tab"/>
    </w:lvl>
    <w:lvl w:ilvl="3">
      <w:isLgl w:val="false"/>
      <w:lvlJc w:val="left"/>
      <w:lvlText w:val="%4."/>
      <w:numFmt w:val="decimal"/>
      <w:pPr>
        <w:pBdr/>
        <w:spacing/>
        <w:ind w:hanging="360" w:left="3229"/>
      </w:pPr>
      <w:rPr/>
      <w:start w:val="1"/>
      <w:suff w:val="tab"/>
    </w:lvl>
    <w:lvl w:ilvl="4">
      <w:isLgl w:val="false"/>
      <w:lvlJc w:val="left"/>
      <w:lvlText w:val="%5."/>
      <w:numFmt w:val="lowerLetter"/>
      <w:pPr>
        <w:pBdr/>
        <w:spacing/>
        <w:ind w:hanging="360" w:left="3949"/>
      </w:pPr>
      <w:rPr/>
      <w:start w:val="1"/>
      <w:suff w:val="tab"/>
    </w:lvl>
    <w:lvl w:ilvl="5">
      <w:isLgl w:val="false"/>
      <w:lvlJc w:val="right"/>
      <w:lvlText w:val="%6."/>
      <w:numFmt w:val="lowerRoman"/>
      <w:pPr>
        <w:pBdr/>
        <w:spacing/>
        <w:ind w:hanging="180" w:left="4669"/>
      </w:pPr>
      <w:rPr/>
      <w:start w:val="1"/>
      <w:suff w:val="tab"/>
    </w:lvl>
    <w:lvl w:ilvl="6">
      <w:isLgl w:val="false"/>
      <w:lvlJc w:val="left"/>
      <w:lvlText w:val="%7."/>
      <w:numFmt w:val="decimal"/>
      <w:pPr>
        <w:pBdr/>
        <w:spacing/>
        <w:ind w:hanging="360" w:left="5389"/>
      </w:pPr>
      <w:rPr/>
      <w:start w:val="1"/>
      <w:suff w:val="tab"/>
    </w:lvl>
    <w:lvl w:ilvl="7">
      <w:isLgl w:val="false"/>
      <w:lvlJc w:val="left"/>
      <w:lvlText w:val="%8."/>
      <w:numFmt w:val="lowerLetter"/>
      <w:pPr>
        <w:pBdr/>
        <w:spacing/>
        <w:ind w:hanging="360" w:left="6109"/>
      </w:pPr>
      <w:rPr/>
      <w:start w:val="1"/>
      <w:suff w:val="tab"/>
    </w:lvl>
    <w:lvl w:ilvl="8">
      <w:isLgl w:val="false"/>
      <w:lvlJc w:val="right"/>
      <w:lvlText w:val="%9."/>
      <w:numFmt w:val="lowerRoman"/>
      <w:pPr>
        <w:pBdr/>
        <w:spacing/>
        <w:ind w:hanging="180" w:left="6829"/>
      </w:pPr>
      <w:rPr/>
      <w:start w:val="1"/>
      <w:suff w:val="tab"/>
    </w:lvl>
  </w:abstractNum>
  <w:abstractNum w:abstractNumId="3">
    <w:lvl w:ilvl="0">
      <w:isLgl w:val="false"/>
      <w:lvlJc w:val="left"/>
      <w:lvlText w:val="%1."/>
      <w:numFmt w:val="decimal"/>
      <w:pPr>
        <w:pBdr/>
        <w:tabs>
          <w:tab w:val="num" w:leader="none" w:pos="720"/>
        </w:tabs>
        <w:spacing/>
        <w:ind w:hanging="360" w:left="720"/>
      </w:pPr>
      <w:rPr/>
      <w:start w:val="1"/>
      <w:suff w:val="tab"/>
    </w:lvl>
    <w:lvl w:ilvl="1">
      <w:isLgl w:val="false"/>
      <w:lvlJc w:val="left"/>
      <w:lvlText w:val="%2."/>
      <w:numFmt w:val="decimal"/>
      <w:pPr>
        <w:pBdr/>
        <w:tabs>
          <w:tab w:val="num" w:leader="none" w:pos="1440"/>
        </w:tabs>
        <w:spacing/>
        <w:ind w:hanging="360" w:left="1440"/>
      </w:pPr>
      <w:rPr/>
      <w:start w:val="1"/>
      <w:suff w:val="tab"/>
    </w:lvl>
    <w:lvl w:ilvl="2">
      <w:isLgl w:val="false"/>
      <w:lvlJc w:val="left"/>
      <w:lvlText w:val="%3."/>
      <w:numFmt w:val="decimal"/>
      <w:pPr>
        <w:pBdr/>
        <w:tabs>
          <w:tab w:val="num" w:leader="none" w:pos="2160"/>
        </w:tabs>
        <w:spacing/>
        <w:ind w:hanging="360" w:left="2160"/>
      </w:pPr>
      <w:rPr/>
      <w:start w:val="1"/>
      <w:suff w:val="tab"/>
    </w:lvl>
    <w:lvl w:ilvl="3">
      <w:isLgl w:val="false"/>
      <w:lvlJc w:val="left"/>
      <w:lvlText w:val="%4."/>
      <w:numFmt w:val="decimal"/>
      <w:pPr>
        <w:pBdr/>
        <w:tabs>
          <w:tab w:val="num" w:leader="none" w:pos="2880"/>
        </w:tabs>
        <w:spacing/>
        <w:ind w:hanging="360" w:left="2880"/>
      </w:pPr>
      <w:rPr/>
      <w:start w:val="1"/>
      <w:suff w:val="tab"/>
    </w:lvl>
    <w:lvl w:ilvl="4">
      <w:isLgl w:val="false"/>
      <w:lvlJc w:val="left"/>
      <w:lvlText w:val="%5."/>
      <w:numFmt w:val="decimal"/>
      <w:pPr>
        <w:pBdr/>
        <w:tabs>
          <w:tab w:val="num" w:leader="none" w:pos="3600"/>
        </w:tabs>
        <w:spacing/>
        <w:ind w:hanging="360" w:left="3600"/>
      </w:pPr>
      <w:rPr/>
      <w:start w:val="1"/>
      <w:suff w:val="tab"/>
    </w:lvl>
    <w:lvl w:ilvl="5">
      <w:isLgl w:val="false"/>
      <w:lvlJc w:val="left"/>
      <w:lvlText w:val="%6."/>
      <w:numFmt w:val="decimal"/>
      <w:pPr>
        <w:pBdr/>
        <w:tabs>
          <w:tab w:val="num" w:leader="none" w:pos="4320"/>
        </w:tabs>
        <w:spacing/>
        <w:ind w:hanging="360" w:left="4320"/>
      </w:pPr>
      <w:rPr/>
      <w:start w:val="1"/>
      <w:suff w:val="tab"/>
    </w:lvl>
    <w:lvl w:ilvl="6">
      <w:isLgl w:val="false"/>
      <w:lvlJc w:val="left"/>
      <w:lvlText w:val="%7."/>
      <w:numFmt w:val="decimal"/>
      <w:pPr>
        <w:pBdr/>
        <w:tabs>
          <w:tab w:val="num" w:leader="none" w:pos="5040"/>
        </w:tabs>
        <w:spacing/>
        <w:ind w:hanging="360" w:left="5040"/>
      </w:pPr>
      <w:rPr/>
      <w:start w:val="1"/>
      <w:suff w:val="tab"/>
    </w:lvl>
    <w:lvl w:ilvl="7">
      <w:isLgl w:val="false"/>
      <w:lvlJc w:val="left"/>
      <w:lvlText w:val="%8."/>
      <w:numFmt w:val="decimal"/>
      <w:pPr>
        <w:pBdr/>
        <w:tabs>
          <w:tab w:val="num" w:leader="none" w:pos="5760"/>
        </w:tabs>
        <w:spacing/>
        <w:ind w:hanging="360" w:left="5760"/>
      </w:pPr>
      <w:rPr/>
      <w:start w:val="1"/>
      <w:suff w:val="tab"/>
    </w:lvl>
    <w:lvl w:ilvl="8">
      <w:isLgl w:val="false"/>
      <w:lvlJc w:val="left"/>
      <w:lvlText w:val="%9."/>
      <w:numFmt w:val="decimal"/>
      <w:pPr>
        <w:pBdr/>
        <w:tabs>
          <w:tab w:val="num" w:leader="none" w:pos="6480"/>
        </w:tabs>
        <w:spacing/>
        <w:ind w:hanging="360" w:left="6480"/>
      </w:pPr>
      <w:rPr/>
      <w:start w:val="1"/>
      <w:suff w:val="tab"/>
    </w:lvl>
  </w:abstractNum>
  <w:abstractNum w:abstractNumId="4">
    <w:lvl w:ilvl="0">
      <w:isLgl w:val="false"/>
      <w:lvlJc w:val="left"/>
      <w:lvlText w:val="%1."/>
      <w:numFmt w:val="decimal"/>
      <w:pPr>
        <w:pBdr/>
        <w:spacing/>
        <w:ind w:hanging="360" w:left="1069"/>
      </w:pPr>
      <w:rPr>
        <w:rFonts w:hint="default"/>
      </w:rPr>
      <w:start w:val="1"/>
      <w:suff w:val="tab"/>
    </w:lvl>
    <w:lvl w:ilvl="1">
      <w:isLgl w:val="false"/>
      <w:lvlJc w:val="left"/>
      <w:lvlText w:val="%2."/>
      <w:numFmt w:val="lowerLetter"/>
      <w:pPr>
        <w:pBdr/>
        <w:spacing/>
        <w:ind w:hanging="360" w:left="1789"/>
      </w:pPr>
      <w:rPr/>
      <w:start w:val="1"/>
      <w:suff w:val="tab"/>
    </w:lvl>
    <w:lvl w:ilvl="2">
      <w:isLgl w:val="false"/>
      <w:lvlJc w:val="right"/>
      <w:lvlText w:val="%3."/>
      <w:numFmt w:val="lowerRoman"/>
      <w:pPr>
        <w:pBdr/>
        <w:spacing/>
        <w:ind w:hanging="180" w:left="2509"/>
      </w:pPr>
      <w:rPr/>
      <w:start w:val="1"/>
      <w:suff w:val="tab"/>
    </w:lvl>
    <w:lvl w:ilvl="3">
      <w:isLgl w:val="false"/>
      <w:lvlJc w:val="left"/>
      <w:lvlText w:val="%4."/>
      <w:numFmt w:val="decimal"/>
      <w:pPr>
        <w:pBdr/>
        <w:spacing/>
        <w:ind w:hanging="360" w:left="3229"/>
      </w:pPr>
      <w:rPr/>
      <w:start w:val="1"/>
      <w:suff w:val="tab"/>
    </w:lvl>
    <w:lvl w:ilvl="4">
      <w:isLgl w:val="false"/>
      <w:lvlJc w:val="left"/>
      <w:lvlText w:val="%5."/>
      <w:numFmt w:val="lowerLetter"/>
      <w:pPr>
        <w:pBdr/>
        <w:spacing/>
        <w:ind w:hanging="360" w:left="3949"/>
      </w:pPr>
      <w:rPr/>
      <w:start w:val="1"/>
      <w:suff w:val="tab"/>
    </w:lvl>
    <w:lvl w:ilvl="5">
      <w:isLgl w:val="false"/>
      <w:lvlJc w:val="right"/>
      <w:lvlText w:val="%6."/>
      <w:numFmt w:val="lowerRoman"/>
      <w:pPr>
        <w:pBdr/>
        <w:spacing/>
        <w:ind w:hanging="180" w:left="4669"/>
      </w:pPr>
      <w:rPr/>
      <w:start w:val="1"/>
      <w:suff w:val="tab"/>
    </w:lvl>
    <w:lvl w:ilvl="6">
      <w:isLgl w:val="false"/>
      <w:lvlJc w:val="left"/>
      <w:lvlText w:val="%7."/>
      <w:numFmt w:val="decimal"/>
      <w:pPr>
        <w:pBdr/>
        <w:spacing/>
        <w:ind w:hanging="360" w:left="5389"/>
      </w:pPr>
      <w:rPr/>
      <w:start w:val="1"/>
      <w:suff w:val="tab"/>
    </w:lvl>
    <w:lvl w:ilvl="7">
      <w:isLgl w:val="false"/>
      <w:lvlJc w:val="left"/>
      <w:lvlText w:val="%8."/>
      <w:numFmt w:val="lowerLetter"/>
      <w:pPr>
        <w:pBdr/>
        <w:spacing/>
        <w:ind w:hanging="360" w:left="6109"/>
      </w:pPr>
      <w:rPr/>
      <w:start w:val="1"/>
      <w:suff w:val="tab"/>
    </w:lvl>
    <w:lvl w:ilvl="8">
      <w:isLgl w:val="false"/>
      <w:lvlJc w:val="right"/>
      <w:lvlText w:val="%9."/>
      <w:numFmt w:val="lowerRoman"/>
      <w:pPr>
        <w:pBdr/>
        <w:spacing/>
        <w:ind w:hanging="180" w:left="6829"/>
      </w:pPr>
      <w:rPr/>
      <w:start w:val="1"/>
      <w:suff w:val="tab"/>
    </w:lvl>
  </w:abstractNum>
  <w:num w:numId="1">
    <w:abstractNumId w:val="2"/>
  </w:num>
  <w:num w:numId="2">
    <w:abstractNumId w:val="0"/>
  </w:num>
  <w:num w:numId="3">
    <w:abstractNumId w:val="4"/>
  </w:num>
  <w:num w:numId="4">
    <w:abstractNumId w:val="3"/>
    <w:lvlOverride w:ilvl="0">
      <w:lvl w:ilvl="0">
        <w:isLgl w:val="false"/>
        <w:lvlJc w:val="left"/>
        <w:lvlText w:val="%1."/>
        <w:numFmt w:val="lowerLetter"/>
        <w:pPr>
          <w:pBdr/>
          <w:spacing/>
          <w:ind/>
        </w:pPr>
        <w:rPr/>
        <w:start w:val="0"/>
        <w:suff w:val="tab"/>
      </w:lvl>
    </w:lvlOverride>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Calibri" w:cs="Calibri"/>
        <w:sz w:val="24"/>
        <w:szCs w:val="22"/>
        <w:lang w:val="en-US" w:eastAsia="en-U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577">
    <w:name w:val="Table Grid Light"/>
    <w:basedOn w:val="169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8">
    <w:name w:val="Plain Table 1"/>
    <w:basedOn w:val="1690"/>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79">
    <w:name w:val="Plain Table 2"/>
    <w:basedOn w:val="1690"/>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0">
    <w:name w:val="Plain Table 3"/>
    <w:basedOn w:val="169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1">
    <w:name w:val="Plain Table 4"/>
    <w:basedOn w:val="169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2">
    <w:name w:val="Plain Table 5"/>
    <w:basedOn w:val="1690"/>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3">
    <w:name w:val="Grid Table 1 Light"/>
    <w:basedOn w:val="1690"/>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4">
    <w:name w:val="Grid Table 1 Light - Accent 1"/>
    <w:basedOn w:val="1690"/>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5">
    <w:name w:val="Grid Table 1 Light - Accent 2"/>
    <w:basedOn w:val="1690"/>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6">
    <w:name w:val="Grid Table 1 Light - Accent 3"/>
    <w:basedOn w:val="1690"/>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7">
    <w:name w:val="Grid Table 1 Light - Accent 4"/>
    <w:basedOn w:val="1690"/>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8">
    <w:name w:val="Grid Table 1 Light - Accent 5"/>
    <w:basedOn w:val="1690"/>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89">
    <w:name w:val="Grid Table 1 Light - Accent 6"/>
    <w:basedOn w:val="1690"/>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0">
    <w:name w:val="Grid Table 2"/>
    <w:basedOn w:val="169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1">
    <w:name w:val="Grid Table 2 - Accent 1"/>
    <w:basedOn w:val="169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2">
    <w:name w:val="Grid Table 2 - Accent 2"/>
    <w:basedOn w:val="169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3">
    <w:name w:val="Grid Table 2 - Accent 3"/>
    <w:basedOn w:val="169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4">
    <w:name w:val="Grid Table 2 - Accent 4"/>
    <w:basedOn w:val="169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5">
    <w:name w:val="Grid Table 2 - Accent 5"/>
    <w:basedOn w:val="169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6">
    <w:name w:val="Grid Table 2 - Accent 6"/>
    <w:basedOn w:val="169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7">
    <w:name w:val="Grid Table 3"/>
    <w:basedOn w:val="1690"/>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8">
    <w:name w:val="Grid Table 3 - Accent 1"/>
    <w:basedOn w:val="1690"/>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599">
    <w:name w:val="Grid Table 3 - Accent 2"/>
    <w:basedOn w:val="1690"/>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0">
    <w:name w:val="Grid Table 3 - Accent 3"/>
    <w:basedOn w:val="1690"/>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1">
    <w:name w:val="Grid Table 3 - Accent 4"/>
    <w:basedOn w:val="1690"/>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2">
    <w:name w:val="Grid Table 3 - Accent 5"/>
    <w:basedOn w:val="1690"/>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3">
    <w:name w:val="Grid Table 3 - Accent 6"/>
    <w:basedOn w:val="1690"/>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4">
    <w:name w:val="Grid Table 4"/>
    <w:basedOn w:val="1690"/>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5">
    <w:name w:val="Grid Table 4 - Accent 1"/>
    <w:basedOn w:val="1690"/>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6">
    <w:name w:val="Grid Table 4 - Accent 2"/>
    <w:basedOn w:val="1690"/>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7">
    <w:name w:val="Grid Table 4 - Accent 3"/>
    <w:basedOn w:val="1690"/>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8">
    <w:name w:val="Grid Table 4 - Accent 4"/>
    <w:basedOn w:val="1690"/>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09">
    <w:name w:val="Grid Table 4 - Accent 5"/>
    <w:basedOn w:val="1690"/>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0">
    <w:name w:val="Grid Table 4 - Accent 6"/>
    <w:basedOn w:val="1690"/>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1">
    <w:name w:val="Grid Table 5 Dark"/>
    <w:basedOn w:val="16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2">
    <w:name w:val="Grid Table 5 Dark - Accent 2"/>
    <w:basedOn w:val="16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3">
    <w:name w:val="Grid Table 5 Dark - Accent 3"/>
    <w:basedOn w:val="16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4">
    <w:name w:val="Grid Table 5 Dark - Accent 5"/>
    <w:basedOn w:val="16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5">
    <w:name w:val="Grid Table 5 Dark - Accent 6"/>
    <w:basedOn w:val="1690"/>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16">
    <w:name w:val="Grid Table 6 Colorful"/>
    <w:basedOn w:val="1690"/>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1617">
    <w:name w:val="Grid Table 6 Colorful - Accent 1"/>
    <w:basedOn w:val="1690"/>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760ab" w:themeColor="accent1" w:themeTint="80" w:themeShade="95"/>
      </w:rPr>
      <w:pPr>
        <w:pBdr/>
        <w:spacing/>
        <w:ind/>
      </w:pPr>
      <w:tblPr>
        <w:tblBorders/>
      </w:tblPr>
      <w:tcPr>
        <w:tcBorders/>
      </w:tcPr>
    </w:tblStylePr>
    <w:tblStylePr w:type="firstRow">
      <w:rPr>
        <w:b/>
        <w:color w:val="3760ab" w:themeColor="accent1" w:themeTint="80" w:themeShade="95"/>
      </w:rPr>
      <w:pPr>
        <w:pBdr/>
        <w:spacing/>
        <w:ind/>
      </w:pPr>
      <w:tblPr>
        <w:tblBorders/>
      </w:tblPr>
      <w:tcPr>
        <w:tcBorders>
          <w:bottom w:val="single" w:color="000000" w:themeColor="accent1" w:themeTint="80" w:sz="12" w:space="0"/>
        </w:tcBorders>
      </w:tcPr>
    </w:tblStylePr>
    <w:tblStylePr w:type="lastCol">
      <w:rPr>
        <w:b/>
        <w:color w:val="3760ab" w:themeColor="accent1" w:themeTint="80" w:themeShade="95"/>
      </w:rPr>
      <w:pPr>
        <w:pBdr/>
        <w:spacing/>
        <w:ind/>
      </w:pPr>
      <w:tblPr>
        <w:tblBorders/>
      </w:tblPr>
      <w:tcPr>
        <w:tcBorders/>
      </w:tcPr>
    </w:tblStylePr>
    <w:tblStylePr w:type="lastRow">
      <w:rPr>
        <w:b/>
        <w:color w:val="3760ab"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1618">
    <w:name w:val="Grid Table 6 Colorful - Accent 2"/>
    <w:basedOn w:val="169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1619">
    <w:name w:val="Grid Table 6 Colorful - Accent 3"/>
    <w:basedOn w:val="1690"/>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1620">
    <w:name w:val="Grid Table 6 Colorful - Accent 4"/>
    <w:basedOn w:val="169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1621">
    <w:name w:val="Grid Table 6 Colorful - Accent 5"/>
    <w:basedOn w:val="1690"/>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622">
    <w:name w:val="Grid Table 6 Colorful - Accent 6"/>
    <w:basedOn w:val="1690"/>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1623">
    <w:name w:val="Grid Table 7 Colorful"/>
    <w:basedOn w:val="1690"/>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4">
    <w:name w:val="Grid Table 7 Colorful - Accent 1"/>
    <w:basedOn w:val="1690"/>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760ab"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760ab"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760ab"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760ab"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760ab"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5">
    <w:name w:val="Grid Table 7 Colorful - Accent 2"/>
    <w:basedOn w:val="1690"/>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6">
    <w:name w:val="Grid Table 7 Colorful - Accent 3"/>
    <w:basedOn w:val="1690"/>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7">
    <w:name w:val="Grid Table 7 Colorful - Accent 4"/>
    <w:basedOn w:val="1690"/>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8">
    <w:name w:val="Grid Table 7 Colorful - Accent 5"/>
    <w:basedOn w:val="1690"/>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29">
    <w:name w:val="Grid Table 7 Colorful - Accent 6"/>
    <w:basedOn w:val="1690"/>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0">
    <w:name w:val="List Table 1 Light"/>
    <w:basedOn w:val="16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1">
    <w:name w:val="List Table 1 Light - Accent 1"/>
    <w:basedOn w:val="16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2">
    <w:name w:val="List Table 1 Light - Accent 2"/>
    <w:basedOn w:val="16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3">
    <w:name w:val="List Table 1 Light - Accent 3"/>
    <w:basedOn w:val="16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4">
    <w:name w:val="List Table 1 Light - Accent 4"/>
    <w:basedOn w:val="16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5">
    <w:name w:val="List Table 1 Light - Accent 5"/>
    <w:basedOn w:val="16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6">
    <w:name w:val="List Table 1 Light - Accent 6"/>
    <w:basedOn w:val="1690"/>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7">
    <w:name w:val="List Table 2"/>
    <w:basedOn w:val="1690"/>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8">
    <w:name w:val="List Table 2 - Accent 1"/>
    <w:basedOn w:val="1690"/>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39">
    <w:name w:val="List Table 2 - Accent 2"/>
    <w:basedOn w:val="1690"/>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0">
    <w:name w:val="List Table 2 - Accent 3"/>
    <w:basedOn w:val="1690"/>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1">
    <w:name w:val="List Table 2 - Accent 4"/>
    <w:basedOn w:val="1690"/>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2">
    <w:name w:val="List Table 2 - Accent 5"/>
    <w:basedOn w:val="1690"/>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3">
    <w:name w:val="List Table 2 - Accent 6"/>
    <w:basedOn w:val="1690"/>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4">
    <w:name w:val="List Table 3"/>
    <w:basedOn w:val="169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5">
    <w:name w:val="List Table 3 - Accent 1"/>
    <w:basedOn w:val="1690"/>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6">
    <w:name w:val="List Table 3 - Accent 2"/>
    <w:basedOn w:val="1690"/>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7">
    <w:name w:val="List Table 3 - Accent 3"/>
    <w:basedOn w:val="1690"/>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8">
    <w:name w:val="List Table 3 - Accent 4"/>
    <w:basedOn w:val="1690"/>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49">
    <w:name w:val="List Table 3 - Accent 5"/>
    <w:basedOn w:val="1690"/>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0">
    <w:name w:val="List Table 3 - Accent 6"/>
    <w:basedOn w:val="1690"/>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1">
    <w:name w:val="List Table 4"/>
    <w:basedOn w:val="1690"/>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2">
    <w:name w:val="List Table 4 - Accent 1"/>
    <w:basedOn w:val="1690"/>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3">
    <w:name w:val="List Table 4 - Accent 2"/>
    <w:basedOn w:val="1690"/>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4">
    <w:name w:val="List Table 4 - Accent 3"/>
    <w:basedOn w:val="1690"/>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5">
    <w:name w:val="List Table 4 - Accent 4"/>
    <w:basedOn w:val="1690"/>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6">
    <w:name w:val="List Table 4 - Accent 5"/>
    <w:basedOn w:val="1690"/>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7">
    <w:name w:val="List Table 4 - Accent 6"/>
    <w:basedOn w:val="1690"/>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58">
    <w:name w:val="List Table 5 Dark"/>
    <w:basedOn w:val="1690"/>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659">
    <w:name w:val="List Table 5 Dark - Accent 1"/>
    <w:basedOn w:val="1690"/>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660">
    <w:name w:val="List Table 5 Dark - Accent 2"/>
    <w:basedOn w:val="1690"/>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661">
    <w:name w:val="List Table 5 Dark - Accent 3"/>
    <w:basedOn w:val="1690"/>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662">
    <w:name w:val="List Table 5 Dark - Accent 4"/>
    <w:basedOn w:val="1690"/>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663">
    <w:name w:val="List Table 5 Dark - Accent 5"/>
    <w:basedOn w:val="1690"/>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664">
    <w:name w:val="List Table 5 Dark - Accent 6"/>
    <w:basedOn w:val="1690"/>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665">
    <w:name w:val="List Table 6 Colorful"/>
    <w:basedOn w:val="1690"/>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6">
    <w:name w:val="List Table 6 Colorful - Accent 1"/>
    <w:basedOn w:val="1690"/>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7">
    <w:name w:val="List Table 6 Colorful - Accent 2"/>
    <w:basedOn w:val="1690"/>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8">
    <w:name w:val="List Table 6 Colorful - Accent 3"/>
    <w:basedOn w:val="1690"/>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69">
    <w:name w:val="List Table 6 Colorful - Accent 4"/>
    <w:basedOn w:val="1690"/>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0">
    <w:name w:val="List Table 6 Colorful - Accent 5"/>
    <w:basedOn w:val="1690"/>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d74b4" w:themeColor="accent5" w:themeTint="9A" w:themeShade="95"/>
      </w:rPr>
      <w:pPr>
        <w:pBdr/>
        <w:spacing/>
        <w:ind/>
      </w:pPr>
      <w:tblPr>
        <w:tblBorders/>
      </w:tblPr>
      <w:tcPr>
        <w:tcBorders/>
      </w:tcPr>
    </w:tblStylePr>
    <w:tblStylePr w:type="firstRow">
      <w:rPr>
        <w:b/>
        <w:color w:val="2d74b4" w:themeColor="accent5" w:themeTint="9A" w:themeShade="95"/>
      </w:rPr>
      <w:pPr>
        <w:pBdr/>
        <w:spacing/>
        <w:ind/>
      </w:pPr>
      <w:tblPr>
        <w:tblBorders/>
      </w:tblPr>
      <w:tcPr>
        <w:tcBorders>
          <w:bottom w:val="single" w:color="000000" w:themeColor="accent5" w:themeTint="9A" w:sz="4" w:space="0"/>
        </w:tcBorders>
      </w:tcPr>
    </w:tblStylePr>
    <w:tblStylePr w:type="lastCol">
      <w:rPr>
        <w:b/>
        <w:color w:val="2d74b4" w:themeColor="accent5" w:themeTint="9A" w:themeShade="95"/>
      </w:rPr>
      <w:pPr>
        <w:pBdr/>
        <w:spacing/>
        <w:ind/>
      </w:pPr>
      <w:tblPr>
        <w:tblBorders/>
      </w:tblPr>
      <w:tcPr>
        <w:tcBorders/>
      </w:tcPr>
    </w:tblStylePr>
    <w:tblStylePr w:type="lastRow">
      <w:rPr>
        <w:b/>
        <w:color w:val="2d74b4"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1">
    <w:name w:val="List Table 6 Colorful - Accent 6"/>
    <w:basedOn w:val="1690"/>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72">
    <w:name w:val="List Table 7 Colorful"/>
    <w:basedOn w:val="1690"/>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1673">
    <w:name w:val="List Table 7 Colorful - Accent 1"/>
    <w:basedOn w:val="1690"/>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1674">
    <w:name w:val="List Table 7 Colorful - Accent 2"/>
    <w:basedOn w:val="1690"/>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675">
    <w:name w:val="List Table 7 Colorful - Accent 3"/>
    <w:basedOn w:val="1690"/>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676">
    <w:name w:val="List Table 7 Colorful - Accent 4"/>
    <w:basedOn w:val="1690"/>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677">
    <w:name w:val="List Table 7 Colorful - Accent 5"/>
    <w:basedOn w:val="1690"/>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d74b4"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d74b4"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d74b4"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d74b4"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d74b4"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d74b4" w:themeColor="accent5" w:themeTint="9A" w:themeShade="95"/>
        <w:sz w:val="22"/>
      </w:rPr>
      <w:pPr>
        <w:pBdr/>
        <w:spacing/>
        <w:ind/>
      </w:pPr>
      <w:tblPr>
        <w:tblBorders/>
      </w:tblPr>
      <w:tcPr>
        <w:tcBorders/>
      </w:tcPr>
    </w:tblStylePr>
  </w:style>
  <w:style w:type="table" w:styleId="1678">
    <w:name w:val="List Table 7 Colorful - Accent 6"/>
    <w:basedOn w:val="1690"/>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1679" w:default="1">
    <w:name w:val="Normal"/>
    <w:pPr>
      <w:pBdr/>
      <w:spacing w:after="0" w:line="240" w:lineRule="auto"/>
      <w:ind/>
    </w:pPr>
    <w:rPr>
      <w:rFonts w:eastAsia="Times New Roman" w:cs="Times New Roman"/>
      <w:sz w:val="28"/>
      <w:szCs w:val="28"/>
    </w:rPr>
  </w:style>
  <w:style w:type="paragraph" w:styleId="1680">
    <w:name w:val="Heading 1"/>
    <w:basedOn w:val="1679"/>
    <w:next w:val="1679"/>
    <w:link w:val="2062"/>
    <w:pPr>
      <w:keepNext w:val="true"/>
      <w:pBdr/>
      <w:spacing w:after="60" w:before="240"/>
      <w:ind/>
      <w:outlineLvl w:val="0"/>
    </w:pPr>
    <w:rPr>
      <w:rFonts w:ascii="Arial" w:hAnsi="Arial"/>
      <w:b/>
      <w:bCs/>
      <w:sz w:val="32"/>
      <w:szCs w:val="32"/>
    </w:rPr>
  </w:style>
  <w:style w:type="paragraph" w:styleId="1681">
    <w:name w:val="Heading 2"/>
    <w:basedOn w:val="1679"/>
    <w:next w:val="1679"/>
    <w:link w:val="1991"/>
    <w:uiPriority w:val="9"/>
    <w:unhideWhenUsed/>
    <w:qFormat/>
    <w:pPr>
      <w:keepNext w:val="true"/>
      <w:keepLines w:val="true"/>
      <w:pBdr/>
      <w:spacing w:after="200" w:before="360"/>
      <w:ind/>
      <w:outlineLvl w:val="1"/>
    </w:pPr>
    <w:rPr>
      <w:rFonts w:ascii="Arial" w:hAnsi="Arial" w:eastAsia="Arial" w:cs="Arial"/>
      <w:sz w:val="34"/>
    </w:rPr>
  </w:style>
  <w:style w:type="paragraph" w:styleId="1682">
    <w:name w:val="Heading 3"/>
    <w:basedOn w:val="1679"/>
    <w:next w:val="1679"/>
    <w:link w:val="1992"/>
    <w:uiPriority w:val="9"/>
    <w:unhideWhenUsed/>
    <w:qFormat/>
    <w:pPr>
      <w:keepNext w:val="true"/>
      <w:keepLines w:val="true"/>
      <w:pBdr/>
      <w:spacing w:after="200" w:before="320"/>
      <w:ind/>
      <w:outlineLvl w:val="2"/>
    </w:pPr>
    <w:rPr>
      <w:rFonts w:ascii="Arial" w:hAnsi="Arial" w:eastAsia="Arial" w:cs="Arial"/>
      <w:sz w:val="30"/>
      <w:szCs w:val="30"/>
    </w:rPr>
  </w:style>
  <w:style w:type="paragraph" w:styleId="1683">
    <w:name w:val="Heading 4"/>
    <w:basedOn w:val="1679"/>
    <w:next w:val="1679"/>
    <w:link w:val="1993"/>
    <w:uiPriority w:val="9"/>
    <w:unhideWhenUsed/>
    <w:qFormat/>
    <w:pPr>
      <w:keepNext w:val="true"/>
      <w:keepLines w:val="true"/>
      <w:pBdr/>
      <w:spacing w:after="200" w:before="320"/>
      <w:ind/>
      <w:outlineLvl w:val="3"/>
    </w:pPr>
    <w:rPr>
      <w:rFonts w:ascii="Arial" w:hAnsi="Arial" w:eastAsia="Arial" w:cs="Arial"/>
      <w:b/>
      <w:bCs/>
      <w:sz w:val="26"/>
      <w:szCs w:val="26"/>
    </w:rPr>
  </w:style>
  <w:style w:type="paragraph" w:styleId="1684">
    <w:name w:val="Heading 5"/>
    <w:basedOn w:val="1679"/>
    <w:next w:val="1679"/>
    <w:link w:val="1994"/>
    <w:uiPriority w:val="9"/>
    <w:unhideWhenUsed/>
    <w:qFormat/>
    <w:pPr>
      <w:keepNext w:val="true"/>
      <w:keepLines w:val="true"/>
      <w:pBdr/>
      <w:spacing w:after="200" w:before="320"/>
      <w:ind/>
      <w:outlineLvl w:val="4"/>
    </w:pPr>
    <w:rPr>
      <w:rFonts w:ascii="Arial" w:hAnsi="Arial" w:eastAsia="Arial" w:cs="Arial"/>
      <w:b/>
      <w:bCs/>
      <w:sz w:val="24"/>
      <w:szCs w:val="24"/>
    </w:rPr>
  </w:style>
  <w:style w:type="paragraph" w:styleId="1685">
    <w:name w:val="Heading 6"/>
    <w:basedOn w:val="1679"/>
    <w:next w:val="1679"/>
    <w:link w:val="1995"/>
    <w:uiPriority w:val="9"/>
    <w:unhideWhenUsed/>
    <w:qFormat/>
    <w:pPr>
      <w:keepNext w:val="true"/>
      <w:keepLines w:val="true"/>
      <w:pBdr/>
      <w:spacing w:after="200" w:before="320"/>
      <w:ind/>
      <w:outlineLvl w:val="5"/>
    </w:pPr>
    <w:rPr>
      <w:rFonts w:ascii="Arial" w:hAnsi="Arial" w:eastAsia="Arial" w:cs="Arial"/>
      <w:b/>
      <w:bCs/>
      <w:sz w:val="22"/>
      <w:szCs w:val="22"/>
    </w:rPr>
  </w:style>
  <w:style w:type="paragraph" w:styleId="1686">
    <w:name w:val="Heading 7"/>
    <w:basedOn w:val="1679"/>
    <w:next w:val="1679"/>
    <w:link w:val="1996"/>
    <w:uiPriority w:val="9"/>
    <w:unhideWhenUsed/>
    <w:qFormat/>
    <w:pPr>
      <w:keepNext w:val="true"/>
      <w:keepLines w:val="true"/>
      <w:pBdr/>
      <w:spacing w:after="200" w:before="320"/>
      <w:ind/>
      <w:outlineLvl w:val="6"/>
    </w:pPr>
    <w:rPr>
      <w:rFonts w:ascii="Arial" w:hAnsi="Arial" w:eastAsia="Arial" w:cs="Arial"/>
      <w:b/>
      <w:bCs/>
      <w:i/>
      <w:iCs/>
      <w:sz w:val="22"/>
      <w:szCs w:val="22"/>
    </w:rPr>
  </w:style>
  <w:style w:type="paragraph" w:styleId="1687">
    <w:name w:val="Heading 8"/>
    <w:basedOn w:val="1679"/>
    <w:next w:val="1679"/>
    <w:link w:val="1997"/>
    <w:uiPriority w:val="9"/>
    <w:unhideWhenUsed/>
    <w:qFormat/>
    <w:pPr>
      <w:keepNext w:val="true"/>
      <w:keepLines w:val="true"/>
      <w:pBdr/>
      <w:spacing w:after="200" w:before="320"/>
      <w:ind/>
      <w:outlineLvl w:val="7"/>
    </w:pPr>
    <w:rPr>
      <w:rFonts w:ascii="Arial" w:hAnsi="Arial" w:eastAsia="Arial" w:cs="Arial"/>
      <w:i/>
      <w:iCs/>
      <w:sz w:val="22"/>
      <w:szCs w:val="22"/>
    </w:rPr>
  </w:style>
  <w:style w:type="paragraph" w:styleId="1688">
    <w:name w:val="Heading 9"/>
    <w:basedOn w:val="1679"/>
    <w:next w:val="1679"/>
    <w:link w:val="1998"/>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1689" w:default="1">
    <w:name w:val="Default Paragraph Font"/>
    <w:uiPriority w:val="1"/>
    <w:semiHidden/>
    <w:unhideWhenUsed/>
    <w:pPr>
      <w:pBdr/>
      <w:spacing/>
      <w:ind/>
    </w:pPr>
  </w:style>
  <w:style w:type="table" w:styleId="1690"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1691" w:default="1">
    <w:name w:val="No List"/>
    <w:uiPriority w:val="99"/>
    <w:semiHidden/>
    <w:unhideWhenUsed/>
    <w:pPr>
      <w:pBdr/>
      <w:spacing/>
      <w:ind/>
    </w:pPr>
  </w:style>
  <w:style w:type="table" w:styleId="1692" w:customStyle="1">
    <w:name w:val="Table Grid Light1"/>
    <w:basedOn w:val="1690"/>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3" w:customStyle="1">
    <w:name w:val="Grid Table 1 Light - Accent 11"/>
    <w:basedOn w:val="1690"/>
    <w:uiPriority w:val="99"/>
    <w:pPr>
      <w:pBdr/>
      <w:spacing w:after="0" w:line="240" w:lineRule="auto"/>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4" w:customStyle="1">
    <w:name w:val="Grid Table 1 Light - Accent 21"/>
    <w:basedOn w:val="1690"/>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5" w:customStyle="1">
    <w:name w:val="Grid Table 1 Light - Accent 31"/>
    <w:basedOn w:val="1690"/>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6" w:customStyle="1">
    <w:name w:val="Grid Table 1 Light - Accent 41"/>
    <w:basedOn w:val="1690"/>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7" w:customStyle="1">
    <w:name w:val="Grid Table 1 Light - Accent 51"/>
    <w:basedOn w:val="1690"/>
    <w:uiPriority w:val="99"/>
    <w:pPr>
      <w:pBdr/>
      <w:spacing w:after="0" w:line="240" w:lineRule="auto"/>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8" w:customStyle="1">
    <w:name w:val="Grid Table 1 Light - Accent 61"/>
    <w:basedOn w:val="1690"/>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699" w:customStyle="1">
    <w:name w:val="Grid Table 2 - Accent 11"/>
    <w:basedOn w:val="1690"/>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0" w:customStyle="1">
    <w:name w:val="Grid Table 2 - Accent 21"/>
    <w:basedOn w:val="1690"/>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1" w:customStyle="1">
    <w:name w:val="Grid Table 2 - Accent 31"/>
    <w:basedOn w:val="1690"/>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2" w:customStyle="1">
    <w:name w:val="Grid Table 2 - Accent 41"/>
    <w:basedOn w:val="1690"/>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3" w:customStyle="1">
    <w:name w:val="Grid Table 2 - Accent 51"/>
    <w:basedOn w:val="1690"/>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4" w:customStyle="1">
    <w:name w:val="Grid Table 2 - Accent 61"/>
    <w:basedOn w:val="1690"/>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5" w:customStyle="1">
    <w:name w:val="Grid Table 3 - Accent 11"/>
    <w:basedOn w:val="1690"/>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6" w:customStyle="1">
    <w:name w:val="Grid Table 3 - Accent 21"/>
    <w:basedOn w:val="1690"/>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7" w:customStyle="1">
    <w:name w:val="Grid Table 3 - Accent 31"/>
    <w:basedOn w:val="1690"/>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8" w:customStyle="1">
    <w:name w:val="Grid Table 3 - Accent 41"/>
    <w:basedOn w:val="1690"/>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09" w:customStyle="1">
    <w:name w:val="Grid Table 3 - Accent 51"/>
    <w:basedOn w:val="1690"/>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0" w:customStyle="1">
    <w:name w:val="Grid Table 3 - Accent 61"/>
    <w:basedOn w:val="1690"/>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1" w:customStyle="1">
    <w:name w:val="Grid Table 4 - Accent 11"/>
    <w:basedOn w:val="1690"/>
    <w:uiPriority w:val="5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2" w:customStyle="1">
    <w:name w:val="Grid Table 4 - Accent 21"/>
    <w:basedOn w:val="1690"/>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3" w:customStyle="1">
    <w:name w:val="Grid Table 4 - Accent 31"/>
    <w:basedOn w:val="1690"/>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4" w:customStyle="1">
    <w:name w:val="Grid Table 4 - Accent 41"/>
    <w:basedOn w:val="1690"/>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5" w:customStyle="1">
    <w:name w:val="Grid Table 4 - Accent 51"/>
    <w:basedOn w:val="1690"/>
    <w:uiPriority w:val="5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6" w:customStyle="1">
    <w:name w:val="Grid Table 4 - Accent 61"/>
    <w:basedOn w:val="1690"/>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7" w:customStyle="1">
    <w:name w:val="Grid Table 5 Dark - Accent 2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8" w:customStyle="1">
    <w:name w:val="Grid Table 5 Dark - Accent 3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19" w:customStyle="1">
    <w:name w:val="Grid Table 5 Dark - Accent 5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0" w:customStyle="1">
    <w:name w:val="Grid Table 5 Dark - Accent 6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1" w:customStyle="1">
    <w:name w:val="Grid Table 6 Colorful - Accent 11"/>
    <w:basedOn w:val="1690"/>
    <w:uiPriority w:val="99"/>
    <w:pPr>
      <w:pBdr/>
      <w:spacing w:after="0" w:line="240" w:lineRule="auto"/>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2" w:customStyle="1">
    <w:name w:val="Grid Table 6 Colorful - Accent 21"/>
    <w:basedOn w:val="1690"/>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3" w:customStyle="1">
    <w:name w:val="Grid Table 6 Colorful - Accent 31"/>
    <w:basedOn w:val="1690"/>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4" w:customStyle="1">
    <w:name w:val="Grid Table 6 Colorful - Accent 41"/>
    <w:basedOn w:val="1690"/>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5" w:customStyle="1">
    <w:name w:val="Grid Table 6 Colorful - Accent 51"/>
    <w:basedOn w:val="1690"/>
    <w:uiPriority w:val="99"/>
    <w:pPr>
      <w:pBdr/>
      <w:spacing w:after="0" w:line="240" w:lineRule="auto"/>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6" w:customStyle="1">
    <w:name w:val="Grid Table 6 Colorful - Accent 61"/>
    <w:basedOn w:val="1690"/>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7" w:customStyle="1">
    <w:name w:val="Grid Table 7 Colorful - Accent 11"/>
    <w:basedOn w:val="1690"/>
    <w:uiPriority w:val="99"/>
    <w:pPr>
      <w:pBdr/>
      <w:spacing w:after="0" w:line="240" w:lineRule="auto"/>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0b7e1" w:themeColor="accent1" w:themeTint="80" w:sz="4" w:space="0"/>
          <w:right w:val="none" w:color="000000" w:sz="0"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0" w:space="0"/>
          <w:left w:val="single" w:color="a0b7e1" w:themeColor="accent1" w:themeTint="80" w:sz="4" w:space="0"/>
          <w:bottom w:val="none" w:color="000000" w:sz="0" w:space="0"/>
          <w:right w:val="none" w:color="000000" w:sz="0"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8" w:customStyle="1">
    <w:name w:val="Grid Table 7 Colorful - Accent 21"/>
    <w:basedOn w:val="1690"/>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29" w:customStyle="1">
    <w:name w:val="Grid Table 7 Colorful - Accent 31"/>
    <w:basedOn w:val="1690"/>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0" w:customStyle="1">
    <w:name w:val="Grid Table 7 Colorful - Accent 41"/>
    <w:basedOn w:val="1690"/>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1" w:customStyle="1">
    <w:name w:val="Grid Table 7 Colorful - Accent 51"/>
    <w:basedOn w:val="1690"/>
    <w:uiPriority w:val="99"/>
    <w:pPr>
      <w:pBdr/>
      <w:spacing w:after="0" w:line="240" w:lineRule="auto"/>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2c6e7" w:themeColor="accent5" w:themeTint="90" w:sz="4" w:space="0"/>
          <w:right w:val="none" w:color="000000" w:sz="0"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0" w:space="0"/>
          <w:left w:val="single" w:color="a2c6e7" w:themeColor="accent5" w:themeTint="90" w:sz="4" w:space="0"/>
          <w:bottom w:val="none" w:color="000000" w:sz="0" w:space="0"/>
          <w:right w:val="none" w:color="000000" w:sz="0"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2" w:customStyle="1">
    <w:name w:val="Grid Table 7 Colorful - Accent 61"/>
    <w:basedOn w:val="1690"/>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3" w:customStyle="1">
    <w:name w:val="List Table 1 Light - Accent 1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4" w:customStyle="1">
    <w:name w:val="List Table 1 Light - Accent 2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5" w:customStyle="1">
    <w:name w:val="List Table 1 Light - Accent 3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6" w:customStyle="1">
    <w:name w:val="List Table 1 Light - Accent 4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7" w:customStyle="1">
    <w:name w:val="List Table 1 Light - Accent 5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8" w:customStyle="1">
    <w:name w:val="List Table 1 Light - Accent 6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39" w:customStyle="1">
    <w:name w:val="List Table 2 - Accent 11"/>
    <w:basedOn w:val="1690"/>
    <w:uiPriority w:val="99"/>
    <w:pPr>
      <w:pBdr/>
      <w:spacing w:after="0" w:line="240" w:lineRule="auto"/>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0" w:customStyle="1">
    <w:name w:val="List Table 2 - Accent 21"/>
    <w:basedOn w:val="1690"/>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1" w:customStyle="1">
    <w:name w:val="List Table 2 - Accent 31"/>
    <w:basedOn w:val="1690"/>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2" w:customStyle="1">
    <w:name w:val="List Table 2 - Accent 41"/>
    <w:basedOn w:val="1690"/>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3" w:customStyle="1">
    <w:name w:val="List Table 2 - Accent 51"/>
    <w:basedOn w:val="1690"/>
    <w:uiPriority w:val="99"/>
    <w:pPr>
      <w:pBdr/>
      <w:spacing w:after="0" w:line="240" w:lineRule="auto"/>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4" w:customStyle="1">
    <w:name w:val="List Table 2 - Accent 61"/>
    <w:basedOn w:val="1690"/>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5" w:customStyle="1">
    <w:name w:val="List Table 3 - Accent 11"/>
    <w:basedOn w:val="1690"/>
    <w:uiPriority w:val="99"/>
    <w:pPr>
      <w:pBdr/>
      <w:spacing w:after="0" w:line="240" w:lineRule="auto"/>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6" w:customStyle="1">
    <w:name w:val="List Table 3 - Accent 21"/>
    <w:basedOn w:val="1690"/>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7" w:customStyle="1">
    <w:name w:val="List Table 3 - Accent 31"/>
    <w:basedOn w:val="1690"/>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8" w:customStyle="1">
    <w:name w:val="List Table 3 - Accent 41"/>
    <w:basedOn w:val="1690"/>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49" w:customStyle="1">
    <w:name w:val="List Table 3 - Accent 51"/>
    <w:basedOn w:val="1690"/>
    <w:uiPriority w:val="99"/>
    <w:pPr>
      <w:pBdr/>
      <w:spacing w:after="0" w:line="240" w:lineRule="auto"/>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50" w:customStyle="1">
    <w:name w:val="List Table 3 - Accent 61"/>
    <w:basedOn w:val="1690"/>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51" w:customStyle="1">
    <w:name w:val="List Table 4 - Accent 11"/>
    <w:basedOn w:val="1690"/>
    <w:uiPriority w:val="9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52" w:customStyle="1">
    <w:name w:val="List Table 4 - Accent 21"/>
    <w:basedOn w:val="1690"/>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53" w:customStyle="1">
    <w:name w:val="List Table 4 - Accent 31"/>
    <w:basedOn w:val="1690"/>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54" w:customStyle="1">
    <w:name w:val="List Table 4 - Accent 41"/>
    <w:basedOn w:val="1690"/>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55" w:customStyle="1">
    <w:name w:val="List Table 4 - Accent 51"/>
    <w:basedOn w:val="1690"/>
    <w:uiPriority w:val="9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56" w:customStyle="1">
    <w:name w:val="List Table 4 - Accent 61"/>
    <w:basedOn w:val="1690"/>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57" w:customStyle="1">
    <w:name w:val="List Table 5 Dark - Accent 11"/>
    <w:basedOn w:val="1690"/>
    <w:uiPriority w:val="99"/>
    <w:pPr>
      <w:pBdr/>
      <w:spacing w:after="0" w:line="240" w:lineRule="auto"/>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58" w:customStyle="1">
    <w:name w:val="List Table 5 Dark - Accent 21"/>
    <w:basedOn w:val="1690"/>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59" w:customStyle="1">
    <w:name w:val="List Table 5 Dark - Accent 31"/>
    <w:basedOn w:val="1690"/>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0" w:customStyle="1">
    <w:name w:val="List Table 5 Dark - Accent 41"/>
    <w:basedOn w:val="1690"/>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1" w:customStyle="1">
    <w:name w:val="List Table 5 Dark - Accent 51"/>
    <w:basedOn w:val="1690"/>
    <w:uiPriority w:val="99"/>
    <w:pPr>
      <w:pBdr/>
      <w:spacing w:after="0" w:line="240" w:lineRule="auto"/>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2" w:customStyle="1">
    <w:name w:val="List Table 5 Dark - Accent 61"/>
    <w:basedOn w:val="1690"/>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3" w:customStyle="1">
    <w:name w:val="List Table 6 Colorful - Accent 11"/>
    <w:basedOn w:val="1690"/>
    <w:uiPriority w:val="99"/>
    <w:pPr>
      <w:pBdr/>
      <w:spacing w:after="0" w:line="240" w:lineRule="auto"/>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4" w:customStyle="1">
    <w:name w:val="List Table 6 Colorful - Accent 21"/>
    <w:basedOn w:val="1690"/>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5" w:customStyle="1">
    <w:name w:val="List Table 6 Colorful - Accent 31"/>
    <w:basedOn w:val="1690"/>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6" w:customStyle="1">
    <w:name w:val="List Table 6 Colorful - Accent 41"/>
    <w:basedOn w:val="1690"/>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7" w:customStyle="1">
    <w:name w:val="List Table 6 Colorful - Accent 51"/>
    <w:basedOn w:val="1690"/>
    <w:uiPriority w:val="99"/>
    <w:pPr>
      <w:pBdr/>
      <w:spacing w:after="0" w:line="240" w:lineRule="auto"/>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8" w:customStyle="1">
    <w:name w:val="List Table 6 Colorful - Accent 61"/>
    <w:basedOn w:val="1690"/>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69" w:customStyle="1">
    <w:name w:val="List Table 7 Colorful - Accent 11"/>
    <w:basedOn w:val="1690"/>
    <w:uiPriority w:val="99"/>
    <w:pPr>
      <w:pBdr/>
      <w:spacing w:after="0" w:line="240" w:lineRule="auto"/>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4472c4" w:themeColor="accent1" w:sz="4" w:space="0"/>
          <w:right w:val="none" w:color="000000" w:sz="0"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0" w:space="0"/>
          <w:left w:val="single" w:color="4472c4" w:themeColor="accent1" w:sz="4" w:space="0"/>
          <w:bottom w:val="none" w:color="000000" w:sz="0" w:space="0"/>
          <w:right w:val="none" w:color="000000" w:sz="0"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0" w:customStyle="1">
    <w:name w:val="List Table 7 Colorful - Accent 21"/>
    <w:basedOn w:val="1690"/>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1" w:customStyle="1">
    <w:name w:val="List Table 7 Colorful - Accent 31"/>
    <w:basedOn w:val="1690"/>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2" w:customStyle="1">
    <w:name w:val="List Table 7 Colorful - Accent 41"/>
    <w:basedOn w:val="1690"/>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3" w:customStyle="1">
    <w:name w:val="List Table 7 Colorful - Accent 51"/>
    <w:basedOn w:val="1690"/>
    <w:uiPriority w:val="99"/>
    <w:pPr>
      <w:pBdr/>
      <w:spacing w:after="0" w:line="240" w:lineRule="auto"/>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bc2e5" w:themeColor="accent5" w:themeTint="9A" w:sz="4" w:space="0"/>
          <w:right w:val="none" w:color="000000" w:sz="0"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0" w:space="0"/>
          <w:left w:val="single" w:color="9bc2e5" w:themeColor="accent5" w:themeTint="9A" w:sz="4" w:space="0"/>
          <w:bottom w:val="none" w:color="000000" w:sz="0" w:space="0"/>
          <w:right w:val="none" w:color="000000" w:sz="0"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4" w:customStyle="1">
    <w:name w:val="List Table 7 Colorful - Accent 61"/>
    <w:basedOn w:val="1690"/>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5" w:customStyle="1">
    <w:name w:val="Plain Table 11"/>
    <w:basedOn w:val="1690"/>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6" w:customStyle="1">
    <w:name w:val="Plain Table 21"/>
    <w:basedOn w:val="1690"/>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7" w:customStyle="1">
    <w:name w:val="Plain Table 31"/>
    <w:basedOn w:val="1690"/>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8" w:customStyle="1">
    <w:name w:val="Plain Table 41"/>
    <w:basedOn w:val="1690"/>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79" w:customStyle="1">
    <w:name w:val="Plain Table 51"/>
    <w:basedOn w:val="1690"/>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0" w:customStyle="1">
    <w:name w:val="Grid Table 1 Light1"/>
    <w:basedOn w:val="1690"/>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1" w:customStyle="1">
    <w:name w:val="Grid Table 21"/>
    <w:basedOn w:val="1690"/>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2" w:customStyle="1">
    <w:name w:val="Grid Table 31"/>
    <w:basedOn w:val="1690"/>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3" w:customStyle="1">
    <w:name w:val="Grid Table 41"/>
    <w:basedOn w:val="1690"/>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4" w:customStyle="1">
    <w:name w:val="Grid Table 5 Dark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5" w:customStyle="1">
    <w:name w:val="Grid Table 6 Colorful1"/>
    <w:basedOn w:val="1690"/>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6" w:customStyle="1">
    <w:name w:val="Grid Table 7 Colorful1"/>
    <w:basedOn w:val="1690"/>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7" w:customStyle="1">
    <w:name w:val="List Table 1 Light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8" w:customStyle="1">
    <w:name w:val="List Table 21"/>
    <w:basedOn w:val="1690"/>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89" w:customStyle="1">
    <w:name w:val="List Table 31"/>
    <w:basedOn w:val="1690"/>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90" w:customStyle="1">
    <w:name w:val="List Table 41"/>
    <w:basedOn w:val="1690"/>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91" w:customStyle="1">
    <w:name w:val="List Table 5 Dark1"/>
    <w:basedOn w:val="1690"/>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92" w:customStyle="1">
    <w:name w:val="List Table 6 Colorful1"/>
    <w:basedOn w:val="1690"/>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93" w:customStyle="1">
    <w:name w:val="List Table 7 Colorful1"/>
    <w:basedOn w:val="1690"/>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94" w:customStyle="1">
    <w:name w:val="Table Grid Light1"/>
    <w:basedOn w:val="1690"/>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95" w:customStyle="1">
    <w:name w:val="Plain Table 11"/>
    <w:basedOn w:val="1690"/>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96" w:customStyle="1">
    <w:name w:val="Plain Table 21"/>
    <w:basedOn w:val="1690"/>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97" w:customStyle="1">
    <w:name w:val="Plain Table 31"/>
    <w:basedOn w:val="1690"/>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98" w:customStyle="1">
    <w:name w:val="Plain Table 41"/>
    <w:basedOn w:val="1690"/>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799" w:customStyle="1">
    <w:name w:val="Plain Table 51"/>
    <w:basedOn w:val="1690"/>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0" w:customStyle="1">
    <w:name w:val="Grid Table 1 Light1"/>
    <w:basedOn w:val="1690"/>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1" w:customStyle="1">
    <w:name w:val="Grid Table 1 Light - Accent 11"/>
    <w:basedOn w:val="1690"/>
    <w:uiPriority w:val="99"/>
    <w:pPr>
      <w:pBdr/>
      <w:spacing w:after="0" w:line="240" w:lineRule="auto"/>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2" w:customStyle="1">
    <w:name w:val="Grid Table 1 Light - Accent 21"/>
    <w:basedOn w:val="1690"/>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3" w:customStyle="1">
    <w:name w:val="Grid Table 1 Light - Accent 31"/>
    <w:basedOn w:val="1690"/>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4" w:customStyle="1">
    <w:name w:val="Grid Table 1 Light - Accent 41"/>
    <w:basedOn w:val="1690"/>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5" w:customStyle="1">
    <w:name w:val="Grid Table 1 Light - Accent 51"/>
    <w:basedOn w:val="1690"/>
    <w:uiPriority w:val="99"/>
    <w:pPr>
      <w:pBdr/>
      <w:spacing w:after="0" w:line="240" w:lineRule="auto"/>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6" w:customStyle="1">
    <w:name w:val="Grid Table 1 Light - Accent 61"/>
    <w:basedOn w:val="1690"/>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7" w:customStyle="1">
    <w:name w:val="Grid Table 21"/>
    <w:basedOn w:val="1690"/>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8" w:customStyle="1">
    <w:name w:val="Grid Table 2 - Accent 11"/>
    <w:basedOn w:val="1690"/>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09" w:customStyle="1">
    <w:name w:val="Grid Table 2 - Accent 21"/>
    <w:basedOn w:val="1690"/>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0" w:customStyle="1">
    <w:name w:val="Grid Table 2 - Accent 31"/>
    <w:basedOn w:val="1690"/>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1" w:customStyle="1">
    <w:name w:val="Grid Table 2 - Accent 41"/>
    <w:basedOn w:val="1690"/>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2" w:customStyle="1">
    <w:name w:val="Grid Table 2 - Accent 51"/>
    <w:basedOn w:val="1690"/>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3" w:customStyle="1">
    <w:name w:val="Grid Table 2 - Accent 61"/>
    <w:basedOn w:val="1690"/>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4" w:customStyle="1">
    <w:name w:val="Grid Table 31"/>
    <w:basedOn w:val="1690"/>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5" w:customStyle="1">
    <w:name w:val="Grid Table 3 - Accent 11"/>
    <w:basedOn w:val="1690"/>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1Vert">
      <w:rPr>
        <w:rFonts w:ascii="Arial" w:hAnsi="Arial"/>
        <w:color w:val="404040"/>
        <w:sz w:val="22"/>
      </w:rPr>
      <w:pPr>
        <w:pBdr/>
        <w:spacing/>
        <w:ind/>
      </w:pPr>
      <w:tblPr>
        <w:tblBorders/>
      </w:tblPr>
      <w:tcPr>
        <w:shd w:val="clear" w:color="d8e2f3" w:themeColor="accent1" w:themeTint="34"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6" w:customStyle="1">
    <w:name w:val="Grid Table 3 - Accent 21"/>
    <w:basedOn w:val="1690"/>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7" w:customStyle="1">
    <w:name w:val="Grid Table 3 - Accent 31"/>
    <w:basedOn w:val="1690"/>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8" w:customStyle="1">
    <w:name w:val="Grid Table 3 - Accent 41"/>
    <w:basedOn w:val="1690"/>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19" w:customStyle="1">
    <w:name w:val="Grid Table 3 - Accent 51"/>
    <w:basedOn w:val="1690"/>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0" w:customStyle="1">
    <w:name w:val="Grid Table 3 - Accent 61"/>
    <w:basedOn w:val="1690"/>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1" w:customStyle="1">
    <w:name w:val="Grid Table 41"/>
    <w:basedOn w:val="1690"/>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2" w:customStyle="1">
    <w:name w:val="Grid Table 4 - Accent 11"/>
    <w:basedOn w:val="1690"/>
    <w:uiPriority w:val="5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dae3f3"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37dc8" w:themeColor="accent1" w:themeTint="EA"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3" w:customStyle="1">
    <w:name w:val="Grid Table 4 - Accent 21"/>
    <w:basedOn w:val="1690"/>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4" w:customStyle="1">
    <w:name w:val="Grid Table 4 - Accent 31"/>
    <w:basedOn w:val="1690"/>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5" w:customStyle="1">
    <w:name w:val="Grid Table 4 - Accent 41"/>
    <w:basedOn w:val="1690"/>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6" w:customStyle="1">
    <w:name w:val="Grid Table 4 - Accent 51"/>
    <w:basedOn w:val="1690"/>
    <w:uiPriority w:val="5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1Vert">
      <w:rPr>
        <w:rFonts w:ascii="Arial" w:hAnsi="Arial"/>
        <w:color w:val="404040"/>
        <w:sz w:val="22"/>
      </w:rPr>
      <w:pPr>
        <w:pBdr/>
        <w:spacing/>
        <w:ind/>
      </w:pPr>
      <w:tblPr>
        <w:tblBorders/>
      </w:tblPr>
      <w:tcPr>
        <w:shd w:val="clear" w:color="ddeaf6" w:themeColor="accent5" w:themeTint="34"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7" w:customStyle="1">
    <w:name w:val="Grid Table 4 - Accent 61"/>
    <w:basedOn w:val="1690"/>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8" w:customStyle="1">
    <w:name w:val="Grid Table 5 Dark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29" w:customStyle="1">
    <w:name w:val="Grid Table 5 Dark - Accent 2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30" w:customStyle="1">
    <w:name w:val="Grid Table 5 Dark - Accent 3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31" w:customStyle="1">
    <w:name w:val="Grid Table 5 Dark - Accent 5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5" w:themeTint="34" w:fill="ddeaf6" w:themeFill="accent5" w:themeFillTint="34"/>
    </w:tblPr>
    <w:tcPr>
      <w:tcBorders/>
    </w:tcPr>
    <w:tblStylePr w:type="band1Horz">
      <w:pPr>
        <w:pBdr/>
        <w:spacing/>
        <w:ind/>
      </w:pPr>
      <w:tblPr>
        <w:tblBorders/>
      </w:tblPr>
      <w:tcPr>
        <w:shd w:val="clear" w:color="b3d0eb" w:themeColor="accent5" w:themeTint="75" w:fill="b3d0eb" w:themeFill="accent5" w:themeFillTint="75"/>
        <w:tcBorders/>
      </w:tcPr>
    </w:tblStylePr>
    <w:tblStylePr w:type="band1Vert">
      <w:pPr>
        <w:pBdr/>
        <w:spacing/>
        <w:ind/>
      </w:pPr>
      <w:tblPr>
        <w:tblBorders/>
      </w:tblPr>
      <w:tcPr>
        <w:shd w:val="clear" w:color="b3d0eb" w:themeColor="accent5" w:themeTint="75"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5" w:fill="5b9bd5" w:themeFill="accent5"/>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rFonts w:ascii="Arial" w:hAnsi="Arial"/>
        <w:b/>
        <w:color w:val="ffffff"/>
        <w:sz w:val="22"/>
      </w:rPr>
      <w:pPr>
        <w:pBdr/>
        <w:spacing/>
        <w:ind/>
      </w:pPr>
      <w:tblPr>
        <w:tblBorders/>
      </w:tblPr>
      <w:tcPr>
        <w:shd w:val="clear" w:color="5b9bd5" w:themeColor="accent5" w:fill="5b9bd5" w:themeFill="accent5"/>
        <w:tcBorders/>
      </w:tcPr>
    </w:tblStylePr>
    <w:tblStylePr w:type="lastRow">
      <w:rPr>
        <w:rFonts w:ascii="Arial" w:hAnsi="Arial"/>
        <w:b/>
        <w:color w:val="ffffff"/>
        <w:sz w:val="22"/>
      </w:rPr>
      <w:pPr>
        <w:pBdr/>
        <w:spacing/>
        <w:ind/>
      </w:pPr>
      <w:tblPr>
        <w:tblBorders/>
      </w:tblPr>
      <w:tcPr>
        <w:shd w:val="clear" w:color="5b9bd5" w:themeColor="accent5"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32" w:customStyle="1">
    <w:name w:val="Grid Table 5 Dark - Accent 6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33" w:customStyle="1">
    <w:name w:val="Grid Table 6 Colorful1"/>
    <w:basedOn w:val="1690"/>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34" w:customStyle="1">
    <w:name w:val="Grid Table 6 Colorful - Accent 11"/>
    <w:basedOn w:val="1690"/>
    <w:uiPriority w:val="99"/>
    <w:pPr>
      <w:pBdr/>
      <w:spacing w:after="0" w:line="240" w:lineRule="auto"/>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35" w:customStyle="1">
    <w:name w:val="Grid Table 6 Colorful - Accent 21"/>
    <w:basedOn w:val="1690"/>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36" w:customStyle="1">
    <w:name w:val="Grid Table 6 Colorful - Accent 31"/>
    <w:basedOn w:val="1690"/>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37" w:customStyle="1">
    <w:name w:val="Grid Table 6 Colorful - Accent 41"/>
    <w:basedOn w:val="1690"/>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38" w:customStyle="1">
    <w:name w:val="Grid Table 6 Colorful - Accent 51"/>
    <w:basedOn w:val="1690"/>
    <w:uiPriority w:val="99"/>
    <w:pPr>
      <w:pBdr/>
      <w:spacing w:after="0" w:line="240" w:lineRule="auto"/>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39" w:customStyle="1">
    <w:name w:val="Grid Table 6 Colorful - Accent 61"/>
    <w:basedOn w:val="1690"/>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40" w:customStyle="1">
    <w:name w:val="Grid Table 7 Colorful1"/>
    <w:basedOn w:val="1690"/>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41" w:customStyle="1">
    <w:name w:val="Grid Table 7 Colorful - Accent 11"/>
    <w:basedOn w:val="1690"/>
    <w:uiPriority w:val="99"/>
    <w:pPr>
      <w:pBdr/>
      <w:spacing w:after="0" w:line="240" w:lineRule="auto"/>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d8e2f3" w:themeColor="accent1" w:themeTint="34" w:fill="d8e2f3" w:themeFill="accent1" w:themeFillTint="34"/>
        <w:tcBorders/>
      </w:tcPr>
    </w:tblStylePr>
    <w:tblStylePr w:type="band1Vert">
      <w:pPr>
        <w:pBdr/>
        <w:spacing/>
        <w:ind/>
      </w:pPr>
      <w:tblPr>
        <w:tblBorders/>
      </w:tblPr>
      <w:tcPr>
        <w:shd w:val="clear" w:color="d8e2f3" w:themeColor="accent1" w:themeTint="34"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ffffff" w:fill="auto"/>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ffffff" w:themeColor="light1"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42" w:customStyle="1">
    <w:name w:val="Grid Table 7 Colorful - Accent 21"/>
    <w:basedOn w:val="1690"/>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43" w:customStyle="1">
    <w:name w:val="Grid Table 7 Colorful - Accent 31"/>
    <w:basedOn w:val="1690"/>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44" w:customStyle="1">
    <w:name w:val="Grid Table 7 Colorful - Accent 41"/>
    <w:basedOn w:val="1690"/>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45" w:customStyle="1">
    <w:name w:val="Grid Table 7 Colorful - Accent 51"/>
    <w:basedOn w:val="1690"/>
    <w:uiPriority w:val="99"/>
    <w:pPr>
      <w:pBdr/>
      <w:spacing w:after="0" w:line="240" w:lineRule="auto"/>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ddeaf6" w:themeColor="accent5" w:themeTint="34" w:fill="ddeaf6" w:themeFill="accent5" w:themeFillTint="34"/>
        <w:tcBorders/>
      </w:tcPr>
    </w:tblStylePr>
    <w:tblStylePr w:type="band1Vert">
      <w:pPr>
        <w:pBdr/>
        <w:spacing/>
        <w:ind/>
      </w:pPr>
      <w:tblPr>
        <w:tblBorders/>
      </w:tblPr>
      <w:tcPr>
        <w:shd w:val="clear" w:color="ddeaf6" w:themeColor="accent5" w:themeTint="34"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ffffff" w:fill="auto"/>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ffffff" w:themeColor="light1"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46" w:customStyle="1">
    <w:name w:val="Grid Table 7 Colorful - Accent 61"/>
    <w:basedOn w:val="1690"/>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47" w:customStyle="1">
    <w:name w:val="List Table 1 Light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48" w:customStyle="1">
    <w:name w:val="List Table 1 Light - Accent 1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49" w:customStyle="1">
    <w:name w:val="List Table 1 Light - Accent 2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50" w:customStyle="1">
    <w:name w:val="List Table 1 Light - Accent 3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51" w:customStyle="1">
    <w:name w:val="List Table 1 Light - Accent 4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52" w:customStyle="1">
    <w:name w:val="List Table 1 Light - Accent 5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53" w:customStyle="1">
    <w:name w:val="List Table 1 Light - Accent 6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54" w:customStyle="1">
    <w:name w:val="List Table 21"/>
    <w:basedOn w:val="1690"/>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55" w:customStyle="1">
    <w:name w:val="List Table 2 - Accent 11"/>
    <w:basedOn w:val="1690"/>
    <w:uiPriority w:val="99"/>
    <w:pPr>
      <w:pBdr/>
      <w:spacing w:after="0" w:line="240" w:lineRule="auto"/>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56" w:customStyle="1">
    <w:name w:val="List Table 2 - Accent 21"/>
    <w:basedOn w:val="1690"/>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57" w:customStyle="1">
    <w:name w:val="List Table 2 - Accent 31"/>
    <w:basedOn w:val="1690"/>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58" w:customStyle="1">
    <w:name w:val="List Table 2 - Accent 41"/>
    <w:basedOn w:val="1690"/>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59" w:customStyle="1">
    <w:name w:val="List Table 2 - Accent 51"/>
    <w:basedOn w:val="1690"/>
    <w:uiPriority w:val="99"/>
    <w:pPr>
      <w:pBdr/>
      <w:spacing w:after="0" w:line="240" w:lineRule="auto"/>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60" w:customStyle="1">
    <w:name w:val="List Table 2 - Accent 61"/>
    <w:basedOn w:val="1690"/>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61" w:customStyle="1">
    <w:name w:val="List Table 31"/>
    <w:basedOn w:val="1690"/>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62" w:customStyle="1">
    <w:name w:val="List Table 3 - Accent 11"/>
    <w:basedOn w:val="1690"/>
    <w:uiPriority w:val="99"/>
    <w:pPr>
      <w:pBdr/>
      <w:spacing w:after="0" w:line="240" w:lineRule="auto"/>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63" w:customStyle="1">
    <w:name w:val="List Table 3 - Accent 21"/>
    <w:basedOn w:val="1690"/>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64" w:customStyle="1">
    <w:name w:val="List Table 3 - Accent 31"/>
    <w:basedOn w:val="1690"/>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65" w:customStyle="1">
    <w:name w:val="List Table 3 - Accent 41"/>
    <w:basedOn w:val="1690"/>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66" w:customStyle="1">
    <w:name w:val="List Table 3 - Accent 51"/>
    <w:basedOn w:val="1690"/>
    <w:uiPriority w:val="99"/>
    <w:pPr>
      <w:pBdr/>
      <w:spacing w:after="0" w:line="240" w:lineRule="auto"/>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9bc2e5" w:themeColor="accent5" w:themeTint="9A"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67" w:customStyle="1">
    <w:name w:val="List Table 3 - Accent 61"/>
    <w:basedOn w:val="1690"/>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68" w:customStyle="1">
    <w:name w:val="List Table 41"/>
    <w:basedOn w:val="1690"/>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69" w:customStyle="1">
    <w:name w:val="List Table 4 - Accent 11"/>
    <w:basedOn w:val="1690"/>
    <w:uiPriority w:val="9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1Vert">
      <w:rPr>
        <w:rFonts w:ascii="Arial" w:hAnsi="Arial"/>
        <w:color w:val="404040"/>
        <w:sz w:val="22"/>
      </w:rPr>
      <w:pPr>
        <w:pBdr/>
        <w:spacing/>
        <w:ind/>
      </w:pPr>
      <w:tblPr>
        <w:tblBorders/>
      </w:tblPr>
      <w:tcPr>
        <w:shd w:val="clear" w:color="cfdbf0" w:themeColor="accent1" w:themeTint="40"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70" w:customStyle="1">
    <w:name w:val="List Table 4 - Accent 21"/>
    <w:basedOn w:val="1690"/>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71" w:customStyle="1">
    <w:name w:val="List Table 4 - Accent 31"/>
    <w:basedOn w:val="1690"/>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72" w:customStyle="1">
    <w:name w:val="List Table 4 - Accent 41"/>
    <w:basedOn w:val="1690"/>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73" w:customStyle="1">
    <w:name w:val="List Table 4 - Accent 51"/>
    <w:basedOn w:val="1690"/>
    <w:uiPriority w:val="9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1Vert">
      <w:rPr>
        <w:rFonts w:ascii="Arial" w:hAnsi="Arial"/>
        <w:color w:val="404040"/>
        <w:sz w:val="22"/>
      </w:rPr>
      <w:pPr>
        <w:pBdr/>
        <w:spacing/>
        <w:ind/>
      </w:pPr>
      <w:tblPr>
        <w:tblBorders/>
      </w:tblPr>
      <w:tcPr>
        <w:shd w:val="clear" w:color="d5e5f4" w:themeColor="accent5" w:themeTint="40"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74" w:customStyle="1">
    <w:name w:val="List Table 4 - Accent 61"/>
    <w:basedOn w:val="1690"/>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75" w:customStyle="1">
    <w:name w:val="List Table 5 Dark1"/>
    <w:basedOn w:val="1690"/>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76" w:customStyle="1">
    <w:name w:val="List Table 5 Dark - Accent 11"/>
    <w:basedOn w:val="1690"/>
    <w:uiPriority w:val="99"/>
    <w:pPr>
      <w:pBdr/>
      <w:spacing w:after="0" w:line="240" w:lineRule="auto"/>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4472c4" w:themeColor="accent1" w:fill="4472c4" w:themeFill="accent1"/>
    </w:tblPr>
    <w:tcPr>
      <w:tcBorders/>
    </w:tcPr>
    <w:tblStylePr w:type="band1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4472c4" w:themeColor="accent1"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4472c4" w:themeColor="accent1"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4472c4" w:themeColor="accent1"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77" w:customStyle="1">
    <w:name w:val="List Table 5 Dark - Accent 21"/>
    <w:basedOn w:val="1690"/>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78" w:customStyle="1">
    <w:name w:val="List Table 5 Dark - Accent 31"/>
    <w:basedOn w:val="1690"/>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79" w:customStyle="1">
    <w:name w:val="List Table 5 Dark - Accent 41"/>
    <w:basedOn w:val="1690"/>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80" w:customStyle="1">
    <w:name w:val="List Table 5 Dark - Accent 51"/>
    <w:basedOn w:val="1690"/>
    <w:uiPriority w:val="99"/>
    <w:pPr>
      <w:pBdr/>
      <w:spacing w:after="0" w:line="240" w:lineRule="auto"/>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9bc2e5" w:themeColor="accent5" w:themeTint="9A" w:fill="9bc2e5" w:themeFill="accent5" w:themeFillTint="9A"/>
    </w:tblPr>
    <w:tcPr>
      <w:tcBorders/>
    </w:tcPr>
    <w:tblStylePr w:type="band1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9bc2e5" w:themeColor="accent5" w:themeTint="9A"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9bc2e5" w:themeColor="accent5" w:themeTint="9A"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9bc2e5" w:themeColor="accent5" w:themeTint="9A"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81" w:customStyle="1">
    <w:name w:val="List Table 5 Dark - Accent 61"/>
    <w:basedOn w:val="1690"/>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82" w:customStyle="1">
    <w:name w:val="List Table 6 Colorful1"/>
    <w:basedOn w:val="1690"/>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83" w:customStyle="1">
    <w:name w:val="List Table 6 Colorful - Accent 11"/>
    <w:basedOn w:val="1690"/>
    <w:uiPriority w:val="99"/>
    <w:pPr>
      <w:pBdr/>
      <w:spacing w:after="0" w:line="240" w:lineRule="auto"/>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84" w:customStyle="1">
    <w:name w:val="List Table 6 Colorful - Accent 21"/>
    <w:basedOn w:val="1690"/>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85" w:customStyle="1">
    <w:name w:val="List Table 6 Colorful - Accent 31"/>
    <w:basedOn w:val="1690"/>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86" w:customStyle="1">
    <w:name w:val="List Table 6 Colorful - Accent 41"/>
    <w:basedOn w:val="1690"/>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87" w:customStyle="1">
    <w:name w:val="List Table 6 Colorful - Accent 51"/>
    <w:basedOn w:val="1690"/>
    <w:uiPriority w:val="99"/>
    <w:pPr>
      <w:pBdr/>
      <w:spacing w:after="0" w:line="240" w:lineRule="auto"/>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88" w:customStyle="1">
    <w:name w:val="List Table 6 Colorful - Accent 61"/>
    <w:basedOn w:val="1690"/>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89" w:customStyle="1">
    <w:name w:val="List Table 7 Colorful1"/>
    <w:basedOn w:val="1690"/>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90" w:customStyle="1">
    <w:name w:val="List Table 7 Colorful - Accent 11"/>
    <w:basedOn w:val="1690"/>
    <w:uiPriority w:val="99"/>
    <w:pPr>
      <w:pBdr/>
      <w:spacing w:after="0" w:line="240" w:lineRule="auto"/>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cfdbf0" w:themeColor="accent1" w:themeTint="40" w:fill="cfdbf0" w:themeFill="accent1" w:themeFillTint="40"/>
        <w:tcBorders/>
      </w:tcPr>
    </w:tblStylePr>
    <w:tblStylePr w:type="band1Vert">
      <w:pPr>
        <w:pBdr/>
        <w:spacing/>
        <w:ind/>
      </w:pPr>
      <w:tblPr>
        <w:tblBorders/>
      </w:tblPr>
      <w:tcPr>
        <w:shd w:val="clear" w:color="cfdbf0" w:themeColor="accent1" w:themeTint="40"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ffffff" w:fill="auto"/>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ffffff" w:themeColor="light1"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91" w:customStyle="1">
    <w:name w:val="List Table 7 Colorful - Accent 21"/>
    <w:basedOn w:val="1690"/>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92" w:customStyle="1">
    <w:name w:val="List Table 7 Colorful - Accent 31"/>
    <w:basedOn w:val="1690"/>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93" w:customStyle="1">
    <w:name w:val="List Table 7 Colorful - Accent 41"/>
    <w:basedOn w:val="1690"/>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94" w:customStyle="1">
    <w:name w:val="List Table 7 Colorful - Accent 51"/>
    <w:basedOn w:val="1690"/>
    <w:uiPriority w:val="99"/>
    <w:pPr>
      <w:pBdr/>
      <w:spacing w:after="0" w:line="240" w:lineRule="auto"/>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d5e5f4" w:themeColor="accent5" w:themeTint="40" w:fill="d5e5f4" w:themeFill="accent5" w:themeFillTint="40"/>
        <w:tcBorders/>
      </w:tcPr>
    </w:tblStylePr>
    <w:tblStylePr w:type="band1Vert">
      <w:pPr>
        <w:pBdr/>
        <w:spacing/>
        <w:ind/>
      </w:pPr>
      <w:tblPr>
        <w:tblBorders/>
      </w:tblPr>
      <w:tcPr>
        <w:shd w:val="clear" w:color="d5e5f4" w:themeColor="accent5" w:themeTint="40"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ffffff" w:fill="auto"/>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ffffff" w:themeColor="light1"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895" w:customStyle="1">
    <w:name w:val="List Table 7 Colorful - Accent 61"/>
    <w:basedOn w:val="1690"/>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896">
    <w:name w:val="Intense Emphasis"/>
    <w:basedOn w:val="1689"/>
    <w:uiPriority w:val="21"/>
    <w:qFormat/>
    <w:pPr>
      <w:pBdr/>
      <w:spacing/>
      <w:ind/>
    </w:pPr>
    <w:rPr>
      <w:i/>
      <w:iCs/>
      <w:color w:val="2f5496" w:themeColor="accent1" w:themeShade="BF"/>
    </w:rPr>
  </w:style>
  <w:style w:type="character" w:styleId="1897">
    <w:name w:val="Intense Reference"/>
    <w:basedOn w:val="1689"/>
    <w:uiPriority w:val="32"/>
    <w:qFormat/>
    <w:pPr>
      <w:pBdr/>
      <w:spacing/>
      <w:ind/>
    </w:pPr>
    <w:rPr>
      <w:b/>
      <w:bCs/>
      <w:smallCaps/>
      <w:color w:val="2f5496" w:themeColor="accent1" w:themeShade="BF"/>
      <w:spacing w:val="5"/>
    </w:rPr>
  </w:style>
  <w:style w:type="character" w:styleId="1898">
    <w:name w:val="Subtle Emphasis"/>
    <w:basedOn w:val="1689"/>
    <w:uiPriority w:val="19"/>
    <w:qFormat/>
    <w:pPr>
      <w:pBdr/>
      <w:spacing/>
      <w:ind/>
    </w:pPr>
    <w:rPr>
      <w:i/>
      <w:iCs/>
      <w:color w:val="404040" w:themeColor="text1" w:themeTint="BF"/>
    </w:rPr>
  </w:style>
  <w:style w:type="character" w:styleId="1899">
    <w:name w:val="Strong"/>
    <w:basedOn w:val="1689"/>
    <w:uiPriority w:val="22"/>
    <w:qFormat/>
    <w:pPr>
      <w:pBdr/>
      <w:spacing/>
      <w:ind/>
    </w:pPr>
    <w:rPr>
      <w:b/>
      <w:bCs/>
    </w:rPr>
  </w:style>
  <w:style w:type="character" w:styleId="1900">
    <w:name w:val="Subtle Reference"/>
    <w:basedOn w:val="1689"/>
    <w:uiPriority w:val="31"/>
    <w:qFormat/>
    <w:pPr>
      <w:pBdr/>
      <w:spacing/>
      <w:ind/>
    </w:pPr>
    <w:rPr>
      <w:smallCaps/>
      <w:color w:val="5a5a5a" w:themeColor="text1" w:themeTint="A5"/>
    </w:rPr>
  </w:style>
  <w:style w:type="character" w:styleId="1901">
    <w:name w:val="Book Title"/>
    <w:basedOn w:val="1689"/>
    <w:uiPriority w:val="33"/>
    <w:qFormat/>
    <w:pPr>
      <w:pBdr/>
      <w:spacing/>
      <w:ind/>
    </w:pPr>
    <w:rPr>
      <w:b/>
      <w:bCs/>
      <w:i/>
      <w:iCs/>
      <w:spacing w:val="5"/>
    </w:rPr>
  </w:style>
  <w:style w:type="paragraph" w:styleId="1902">
    <w:name w:val="Caption"/>
    <w:basedOn w:val="1679"/>
    <w:next w:val="1679"/>
    <w:uiPriority w:val="35"/>
    <w:unhideWhenUsed/>
    <w:qFormat/>
    <w:pPr>
      <w:pBdr/>
      <w:spacing w:after="200"/>
      <w:ind/>
    </w:pPr>
    <w:rPr>
      <w:i/>
      <w:iCs/>
      <w:color w:val="44546a" w:themeColor="text2"/>
      <w:sz w:val="18"/>
      <w:szCs w:val="18"/>
    </w:rPr>
  </w:style>
  <w:style w:type="paragraph" w:styleId="1903">
    <w:name w:val="endnote text"/>
    <w:basedOn w:val="1679"/>
    <w:link w:val="1904"/>
    <w:uiPriority w:val="99"/>
    <w:semiHidden/>
    <w:unhideWhenUsed/>
    <w:pPr>
      <w:pBdr/>
      <w:spacing/>
      <w:ind/>
    </w:pPr>
    <w:rPr>
      <w:sz w:val="20"/>
      <w:szCs w:val="20"/>
    </w:rPr>
  </w:style>
  <w:style w:type="character" w:styleId="1904" w:customStyle="1">
    <w:name w:val="Endnote Text Char"/>
    <w:basedOn w:val="1689"/>
    <w:link w:val="1903"/>
    <w:uiPriority w:val="99"/>
    <w:semiHidden/>
    <w:pPr>
      <w:pBdr/>
      <w:spacing/>
      <w:ind/>
    </w:pPr>
    <w:rPr>
      <w:sz w:val="20"/>
      <w:szCs w:val="20"/>
    </w:rPr>
  </w:style>
  <w:style w:type="character" w:styleId="1905">
    <w:name w:val="endnote reference"/>
    <w:basedOn w:val="1689"/>
    <w:uiPriority w:val="99"/>
    <w:semiHidden/>
    <w:unhideWhenUsed/>
    <w:pPr>
      <w:pBdr/>
      <w:spacing/>
      <w:ind/>
    </w:pPr>
    <w:rPr>
      <w:vertAlign w:val="superscript"/>
    </w:rPr>
  </w:style>
  <w:style w:type="character" w:styleId="1906">
    <w:name w:val="FollowedHyperlink"/>
    <w:basedOn w:val="1689"/>
    <w:uiPriority w:val="99"/>
    <w:semiHidden/>
    <w:unhideWhenUsed/>
    <w:pPr>
      <w:pBdr/>
      <w:spacing/>
      <w:ind/>
    </w:pPr>
    <w:rPr>
      <w:color w:val="954f72" w:themeColor="followedHyperlink"/>
      <w:u w:val="single"/>
    </w:rPr>
  </w:style>
  <w:style w:type="paragraph" w:styleId="1907">
    <w:name w:val="table of figures"/>
    <w:basedOn w:val="1679"/>
    <w:next w:val="1679"/>
    <w:uiPriority w:val="99"/>
    <w:unhideWhenUsed/>
    <w:pPr>
      <w:pBdr/>
      <w:spacing/>
      <w:ind/>
    </w:pPr>
  </w:style>
  <w:style w:type="table" w:styleId="1908" w:customStyle="1">
    <w:name w:val="Table Grid Light1"/>
    <w:basedOn w:val="1690"/>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09" w:customStyle="1">
    <w:name w:val="Grid Table 1 Light - Accent 11"/>
    <w:basedOn w:val="1690"/>
    <w:uiPriority w:val="99"/>
    <w:pPr>
      <w:pBdr/>
      <w:spacing w:after="0" w:line="240" w:lineRule="auto"/>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10" w:customStyle="1">
    <w:name w:val="Grid Table 1 Light - Accent 21"/>
    <w:basedOn w:val="1690"/>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11" w:customStyle="1">
    <w:name w:val="Grid Table 1 Light - Accent 31"/>
    <w:basedOn w:val="1690"/>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12" w:customStyle="1">
    <w:name w:val="Grid Table 1 Light - Accent 41"/>
    <w:basedOn w:val="1690"/>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13" w:customStyle="1">
    <w:name w:val="Grid Table 1 Light - Accent 51"/>
    <w:basedOn w:val="1690"/>
    <w:uiPriority w:val="99"/>
    <w:pPr>
      <w:pBdr/>
      <w:spacing w:after="0" w:line="240" w:lineRule="auto"/>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14" w:customStyle="1">
    <w:name w:val="Grid Table 1 Light - Accent 61"/>
    <w:basedOn w:val="1690"/>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15" w:customStyle="1">
    <w:name w:val="Grid Table 2 - Accent 11"/>
    <w:basedOn w:val="1690"/>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auto" w:fill="d8e2f3" w:themeFill="accent1" w:themeFillTint="34"/>
        <w:tcBorders/>
      </w:tcPr>
    </w:tblStylePr>
    <w:tblStylePr w:type="band1Vert">
      <w:rPr>
        <w:rFonts w:ascii="Arial" w:hAnsi="Arial"/>
        <w:color w:val="404040"/>
        <w:sz w:val="22"/>
      </w:rPr>
      <w:pPr>
        <w:pBdr/>
        <w:spacing/>
        <w:ind/>
      </w:pPr>
      <w:tblPr>
        <w:tblBorders/>
      </w:tblPr>
      <w:tcPr>
        <w:shd w:val="clear" w:color="auto"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537dc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537dc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16" w:customStyle="1">
    <w:name w:val="Grid Table 2 - Accent 21"/>
    <w:basedOn w:val="1690"/>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auto" w:fill="fbe5d6" w:themeFill="accent2" w:themeFillTint="32"/>
        <w:tcBorders/>
      </w:tcPr>
    </w:tblStylePr>
    <w:tblStylePr w:type="band1Vert">
      <w:rPr>
        <w:rFonts w:ascii="Arial" w:hAnsi="Arial"/>
        <w:color w:val="404040"/>
        <w:sz w:val="22"/>
      </w:rPr>
      <w:pPr>
        <w:pBdr/>
        <w:spacing/>
        <w:ind/>
      </w:pPr>
      <w:tblPr>
        <w:tblBorders/>
      </w:tblPr>
      <w:tcPr>
        <w:shd w:val="clear" w:color="auto"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17" w:customStyle="1">
    <w:name w:val="Grid Table 2 - Accent 31"/>
    <w:basedOn w:val="1690"/>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auto" w:fill="ececec" w:themeFill="accent3" w:themeFillTint="34"/>
        <w:tcBorders/>
      </w:tcPr>
    </w:tblStylePr>
    <w:tblStylePr w:type="band1Vert">
      <w:rPr>
        <w:rFonts w:ascii="Arial" w:hAnsi="Arial"/>
        <w:color w:val="404040"/>
        <w:sz w:val="22"/>
      </w:rPr>
      <w:pPr>
        <w:pBdr/>
        <w:spacing/>
        <w:ind/>
      </w:pPr>
      <w:tblPr>
        <w:tblBorders/>
      </w:tblPr>
      <w:tcPr>
        <w:shd w:val="clear" w:color="auto"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18" w:customStyle="1">
    <w:name w:val="Grid Table 2 - Accent 41"/>
    <w:basedOn w:val="1690"/>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auto" w:fill="fff2cb" w:themeFill="accent4" w:themeFillTint="34"/>
        <w:tcBorders/>
      </w:tcPr>
    </w:tblStylePr>
    <w:tblStylePr w:type="band1Vert">
      <w:rPr>
        <w:rFonts w:ascii="Arial" w:hAnsi="Arial"/>
        <w:color w:val="404040"/>
        <w:sz w:val="22"/>
      </w:rPr>
      <w:pPr>
        <w:pBdr/>
        <w:spacing/>
        <w:ind/>
      </w:pPr>
      <w:tblPr>
        <w:tblBorders/>
      </w:tblPr>
      <w:tcPr>
        <w:shd w:val="clear" w:color="auto"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19" w:customStyle="1">
    <w:name w:val="Grid Table 2 - Accent 51"/>
    <w:basedOn w:val="1690"/>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auto" w:fill="ddeaf6" w:themeFill="accent5" w:themeFillTint="34"/>
        <w:tcBorders/>
      </w:tcPr>
    </w:tblStylePr>
    <w:tblStylePr w:type="band1Vert">
      <w:rPr>
        <w:rFonts w:ascii="Arial" w:hAnsi="Arial"/>
        <w:color w:val="404040"/>
        <w:sz w:val="22"/>
      </w:rPr>
      <w:pPr>
        <w:pBdr/>
        <w:spacing/>
        <w:ind/>
      </w:pPr>
      <w:tblPr>
        <w:tblBorders/>
      </w:tblPr>
      <w:tcPr>
        <w:shd w:val="clear" w:color="auto"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5b9bd5"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20" w:customStyle="1">
    <w:name w:val="Grid Table 2 - Accent 61"/>
    <w:basedOn w:val="1690"/>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auto" w:fill="e1efd8" w:themeFill="accent6" w:themeFillTint="34"/>
        <w:tcBorders/>
      </w:tcPr>
    </w:tblStylePr>
    <w:tblStylePr w:type="band1Vert">
      <w:rPr>
        <w:rFonts w:ascii="Arial" w:hAnsi="Arial"/>
        <w:color w:val="404040"/>
        <w:sz w:val="22"/>
      </w:rPr>
      <w:pPr>
        <w:pBdr/>
        <w:spacing/>
        <w:ind/>
      </w:pPr>
      <w:tblPr>
        <w:tblBorders/>
      </w:tblPr>
      <w:tcPr>
        <w:shd w:val="clear" w:color="auto"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21" w:customStyle="1">
    <w:name w:val="Grid Table 3 - Accent 11"/>
    <w:basedOn w:val="1690"/>
    <w:uiPriority w:val="99"/>
    <w:pPr>
      <w:pBdr/>
      <w:spacing w:after="0" w:line="240" w:lineRule="auto"/>
      <w:ind/>
    </w:pPr>
    <w:tblPr>
      <w:tblStyleRowBandSize w:val="1"/>
      <w:tblStyleColBandSize w:val="1"/>
      <w:tblBorders>
        <w:bottom w:val="single" w:color="537dc8" w:themeColor="accent1" w:themeTint="EA" w:sz="4" w:space="0"/>
        <w:insideH w:val="single" w:color="537dc8" w:themeColor="accent1" w:themeTint="EA" w:sz="4" w:space="0"/>
        <w:insideV w:val="single" w:color="537dc8" w:themeColor="accent1" w:themeTint="EA" w:sz="4" w:space="0"/>
      </w:tblBorders>
    </w:tblPr>
    <w:tcPr>
      <w:tcBorders/>
    </w:tcPr>
    <w:tblStylePr w:type="band1Horz">
      <w:rPr>
        <w:rFonts w:ascii="Arial" w:hAnsi="Arial"/>
        <w:color w:val="404040"/>
        <w:sz w:val="22"/>
      </w:rPr>
      <w:pPr>
        <w:pBdr/>
        <w:spacing/>
        <w:ind/>
      </w:pPr>
      <w:tblPr>
        <w:tblBorders/>
      </w:tblPr>
      <w:tcPr>
        <w:shd w:val="clear" w:color="auto" w:fill="d8e2f3" w:themeFill="accent1" w:themeFillTint="34"/>
        <w:tcBorders/>
      </w:tcPr>
    </w:tblStylePr>
    <w:tblStylePr w:type="band1Vert">
      <w:rPr>
        <w:rFonts w:ascii="Arial" w:hAnsi="Arial"/>
        <w:color w:val="404040"/>
        <w:sz w:val="22"/>
      </w:rPr>
      <w:pPr>
        <w:pBdr/>
        <w:spacing/>
        <w:ind/>
      </w:pPr>
      <w:tblPr>
        <w:tblBorders/>
      </w:tblPr>
      <w:tcPr>
        <w:shd w:val="clear" w:color="auto" w:fill="d8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22" w:customStyle="1">
    <w:name w:val="Grid Table 3 - Accent 21"/>
    <w:basedOn w:val="1690"/>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auto" w:fill="fbe5d6" w:themeFill="accent2" w:themeFillTint="32"/>
        <w:tcBorders/>
      </w:tcPr>
    </w:tblStylePr>
    <w:tblStylePr w:type="band1Vert">
      <w:rPr>
        <w:rFonts w:ascii="Arial" w:hAnsi="Arial"/>
        <w:color w:val="404040"/>
        <w:sz w:val="22"/>
      </w:rPr>
      <w:pPr>
        <w:pBdr/>
        <w:spacing/>
        <w:ind/>
      </w:pPr>
      <w:tblPr>
        <w:tblBorders/>
      </w:tblPr>
      <w:tcPr>
        <w:shd w:val="clear" w:color="auto"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23" w:customStyle="1">
    <w:name w:val="Grid Table 3 - Accent 31"/>
    <w:basedOn w:val="1690"/>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auto" w:fill="ececec" w:themeFill="accent3" w:themeFillTint="34"/>
        <w:tcBorders/>
      </w:tcPr>
    </w:tblStylePr>
    <w:tblStylePr w:type="band1Vert">
      <w:rPr>
        <w:rFonts w:ascii="Arial" w:hAnsi="Arial"/>
        <w:color w:val="404040"/>
        <w:sz w:val="22"/>
      </w:rPr>
      <w:pPr>
        <w:pBdr/>
        <w:spacing/>
        <w:ind/>
      </w:pPr>
      <w:tblPr>
        <w:tblBorders/>
      </w:tblPr>
      <w:tcPr>
        <w:shd w:val="clear" w:color="auto"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24" w:customStyle="1">
    <w:name w:val="Grid Table 3 - Accent 41"/>
    <w:basedOn w:val="1690"/>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auto" w:fill="fff2cb" w:themeFill="accent4" w:themeFillTint="34"/>
        <w:tcBorders/>
      </w:tcPr>
    </w:tblStylePr>
    <w:tblStylePr w:type="band1Vert">
      <w:rPr>
        <w:rFonts w:ascii="Arial" w:hAnsi="Arial"/>
        <w:color w:val="404040"/>
        <w:sz w:val="22"/>
      </w:rPr>
      <w:pPr>
        <w:pBdr/>
        <w:spacing/>
        <w:ind/>
      </w:pPr>
      <w:tblPr>
        <w:tblBorders/>
      </w:tblPr>
      <w:tcPr>
        <w:shd w:val="clear" w:color="auto"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25" w:customStyle="1">
    <w:name w:val="Grid Table 3 - Accent 51"/>
    <w:basedOn w:val="1690"/>
    <w:uiPriority w:val="99"/>
    <w:pPr>
      <w:pBdr/>
      <w:spacing w:after="0" w:line="240" w:lineRule="auto"/>
      <w:ind/>
    </w:pPr>
    <w:tblPr>
      <w:tblStyleRowBandSize w:val="1"/>
      <w:tblStyleColBandSize w:val="1"/>
      <w:tblBorders>
        <w:bottom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404040"/>
        <w:sz w:val="22"/>
      </w:rPr>
      <w:pPr>
        <w:pBdr/>
        <w:spacing/>
        <w:ind/>
      </w:pPr>
      <w:tblPr>
        <w:tblBorders/>
      </w:tblPr>
      <w:tcPr>
        <w:shd w:val="clear" w:color="auto" w:fill="ddeaf6" w:themeFill="accent5" w:themeFillTint="34"/>
        <w:tcBorders/>
      </w:tcPr>
    </w:tblStylePr>
    <w:tblStylePr w:type="band1Vert">
      <w:rPr>
        <w:rFonts w:ascii="Arial" w:hAnsi="Arial"/>
        <w:color w:val="404040"/>
        <w:sz w:val="22"/>
      </w:rPr>
      <w:pPr>
        <w:pBdr/>
        <w:spacing/>
        <w:ind/>
      </w:pPr>
      <w:tblPr>
        <w:tblBorders/>
      </w:tblPr>
      <w:tcPr>
        <w:shd w:val="clear" w:color="auto"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26" w:customStyle="1">
    <w:name w:val="Grid Table 3 - Accent 61"/>
    <w:basedOn w:val="1690"/>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auto" w:fill="e1efd8" w:themeFill="accent6" w:themeFillTint="34"/>
        <w:tcBorders/>
      </w:tcPr>
    </w:tblStylePr>
    <w:tblStylePr w:type="band1Vert">
      <w:rPr>
        <w:rFonts w:ascii="Arial" w:hAnsi="Arial"/>
        <w:color w:val="404040"/>
        <w:sz w:val="22"/>
      </w:rPr>
      <w:pPr>
        <w:pBdr/>
        <w:spacing/>
        <w:ind/>
      </w:pPr>
      <w:tblPr>
        <w:tblBorders/>
      </w:tblPr>
      <w:tcPr>
        <w:shd w:val="clear" w:color="auto"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27" w:customStyle="1">
    <w:name w:val="Grid Table 4 - Accent 11"/>
    <w:basedOn w:val="1690"/>
    <w:uiPriority w:val="5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insideV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auto" w:fill="dae3f3" w:themeFill="accent1" w:themeFillTint="32"/>
        <w:tcBorders/>
      </w:tcPr>
    </w:tblStylePr>
    <w:tblStylePr w:type="band1Vert">
      <w:rPr>
        <w:rFonts w:ascii="Arial" w:hAnsi="Arial"/>
        <w:color w:val="404040"/>
        <w:sz w:val="22"/>
      </w:rPr>
      <w:pPr>
        <w:pBdr/>
        <w:spacing/>
        <w:ind/>
      </w:pPr>
      <w:tblPr>
        <w:tblBorders/>
      </w:tblPr>
      <w:tcPr>
        <w:shd w:val="clear" w:color="auto"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537dc8" w:themeFill="accent1" w:themeFillTint="EA"/>
        <w:tcBorders>
          <w:top w:val="single" w:color="537dc8" w:themeColor="accent1" w:themeTint="EA" w:sz="4" w:space="0"/>
          <w:left w:val="single" w:color="537dc8" w:themeColor="accent1" w:themeTint="EA" w:sz="4" w:space="0"/>
          <w:bottom w:val="single" w:color="537dc8" w:themeColor="accent1" w:themeTint="EA" w:sz="4" w:space="0"/>
          <w:right w:val="single" w:color="537dc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37dc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28" w:customStyle="1">
    <w:name w:val="Grid Table 4 - Accent 21"/>
    <w:basedOn w:val="1690"/>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auto" w:fill="fbe5d6" w:themeFill="accent2" w:themeFillTint="32"/>
        <w:tcBorders/>
      </w:tcPr>
    </w:tblStylePr>
    <w:tblStylePr w:type="band1Vert">
      <w:rPr>
        <w:rFonts w:ascii="Arial" w:hAnsi="Arial"/>
        <w:color w:val="404040"/>
        <w:sz w:val="22"/>
      </w:rPr>
      <w:pPr>
        <w:pBdr/>
        <w:spacing/>
        <w:ind/>
      </w:pPr>
      <w:tblPr>
        <w:tblBorders/>
      </w:tblPr>
      <w:tcPr>
        <w:shd w:val="clear" w:color="auto"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29" w:customStyle="1">
    <w:name w:val="Grid Table 4 - Accent 31"/>
    <w:basedOn w:val="1690"/>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auto" w:fill="ececec" w:themeFill="accent3" w:themeFillTint="34"/>
        <w:tcBorders/>
      </w:tcPr>
    </w:tblStylePr>
    <w:tblStylePr w:type="band1Vert">
      <w:rPr>
        <w:rFonts w:ascii="Arial" w:hAnsi="Arial"/>
        <w:color w:val="404040"/>
        <w:sz w:val="22"/>
      </w:rPr>
      <w:pPr>
        <w:pBdr/>
        <w:spacing/>
        <w:ind/>
      </w:pPr>
      <w:tblPr>
        <w:tblBorders/>
      </w:tblPr>
      <w:tcPr>
        <w:shd w:val="clear" w:color="auto"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30" w:customStyle="1">
    <w:name w:val="Grid Table 4 - Accent 41"/>
    <w:basedOn w:val="1690"/>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auto" w:fill="fff2cb" w:themeFill="accent4" w:themeFillTint="34"/>
        <w:tcBorders/>
      </w:tcPr>
    </w:tblStylePr>
    <w:tblStylePr w:type="band1Vert">
      <w:rPr>
        <w:rFonts w:ascii="Arial" w:hAnsi="Arial"/>
        <w:color w:val="404040"/>
        <w:sz w:val="22"/>
      </w:rPr>
      <w:pPr>
        <w:pBdr/>
        <w:spacing/>
        <w:ind/>
      </w:pPr>
      <w:tblPr>
        <w:tblBorders/>
      </w:tblPr>
      <w:tcPr>
        <w:shd w:val="clear" w:color="auto"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31" w:customStyle="1">
    <w:name w:val="Grid Table 4 - Accent 51"/>
    <w:basedOn w:val="1690"/>
    <w:uiPriority w:val="5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auto" w:fill="ddeaf6" w:themeFill="accent5" w:themeFillTint="34"/>
        <w:tcBorders/>
      </w:tcPr>
    </w:tblStylePr>
    <w:tblStylePr w:type="band1Vert">
      <w:rPr>
        <w:rFonts w:ascii="Arial" w:hAnsi="Arial"/>
        <w:color w:val="404040"/>
        <w:sz w:val="22"/>
      </w:rPr>
      <w:pPr>
        <w:pBdr/>
        <w:spacing/>
        <w:ind/>
      </w:pPr>
      <w:tblPr>
        <w:tblBorders/>
      </w:tblPr>
      <w:tcPr>
        <w:shd w:val="clear" w:color="auto" w:fill="ddea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5b9bd5" w:themeFill="accent5"/>
        <w:tcBorders>
          <w:top w:val="single" w:color="5b9bd5" w:themeColor="accent5" w:sz="4" w:space="0"/>
          <w:left w:val="single" w:color="5b9bd5" w:themeColor="accent5" w:sz="4" w:space="0"/>
          <w:bottom w:val="single" w:color="5b9bd5" w:themeColor="accent5" w:sz="4" w:space="0"/>
          <w:right w:val="single" w:color="5b9bd5"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32" w:customStyle="1">
    <w:name w:val="Grid Table 4 - Accent 61"/>
    <w:basedOn w:val="1690"/>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auto" w:fill="e1efd8" w:themeFill="accent6" w:themeFillTint="34"/>
        <w:tcBorders/>
      </w:tcPr>
    </w:tblStylePr>
    <w:tblStylePr w:type="band1Vert">
      <w:rPr>
        <w:rFonts w:ascii="Arial" w:hAnsi="Arial"/>
        <w:color w:val="404040"/>
        <w:sz w:val="22"/>
      </w:rPr>
      <w:pPr>
        <w:pBdr/>
        <w:spacing/>
        <w:ind/>
      </w:pPr>
      <w:tblPr>
        <w:tblBorders/>
      </w:tblPr>
      <w:tcPr>
        <w:shd w:val="clear" w:color="auto"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33" w:customStyle="1">
    <w:name w:val="Grid Table 5 Dark - Accent 2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fbe5d6" w:themeFill="accent2" w:themeFillTint="32"/>
    </w:tblPr>
    <w:tcPr>
      <w:tcBorders/>
    </w:tcPr>
    <w:tblStylePr w:type="band1Horz">
      <w:pPr>
        <w:pBdr/>
        <w:spacing/>
        <w:ind/>
      </w:pPr>
      <w:tblPr>
        <w:tblBorders/>
      </w:tblPr>
      <w:tcPr>
        <w:shd w:val="clear" w:color="auto" w:fill="f6c3a0" w:themeFill="accent2" w:themeFillTint="75"/>
        <w:tcBorders/>
      </w:tcPr>
    </w:tblStylePr>
    <w:tblStylePr w:type="band1Vert">
      <w:pPr>
        <w:pBdr/>
        <w:spacing/>
        <w:ind/>
      </w:pPr>
      <w:tblPr>
        <w:tblBorders/>
      </w:tblPr>
      <w:tcPr>
        <w:shd w:val="clear" w:color="auto"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ed7d31" w:themeFill="accent2"/>
        <w:tcBorders/>
      </w:tcPr>
    </w:tblStylePr>
    <w:tblStylePr w:type="firstRow">
      <w:rPr>
        <w:rFonts w:ascii="Arial" w:hAnsi="Arial"/>
        <w:b/>
        <w:color w:val="ffffff"/>
        <w:sz w:val="22"/>
      </w:rPr>
      <w:pPr>
        <w:pBdr/>
        <w:spacing/>
        <w:ind/>
      </w:pPr>
      <w:tblPr>
        <w:tblBorders/>
      </w:tblPr>
      <w:tcPr>
        <w:shd w:val="clear" w:color="auto" w:fill="ed7d31" w:themeFill="accent2"/>
        <w:tcBorders/>
      </w:tcPr>
    </w:tblStylePr>
    <w:tblStylePr w:type="lastCol">
      <w:rPr>
        <w:rFonts w:ascii="Arial" w:hAnsi="Arial"/>
        <w:b/>
        <w:color w:val="ffffff"/>
        <w:sz w:val="22"/>
      </w:rPr>
      <w:pPr>
        <w:pBdr/>
        <w:spacing/>
        <w:ind/>
      </w:pPr>
      <w:tblPr>
        <w:tblBorders/>
      </w:tblPr>
      <w:tcPr>
        <w:shd w:val="clear" w:color="auto" w:fill="ed7d31" w:themeFill="accent2"/>
        <w:tcBorders/>
      </w:tcPr>
    </w:tblStylePr>
    <w:tblStylePr w:type="lastRow">
      <w:rPr>
        <w:rFonts w:ascii="Arial" w:hAnsi="Arial"/>
        <w:b/>
        <w:color w:val="ffffff"/>
        <w:sz w:val="22"/>
      </w:rPr>
      <w:pPr>
        <w:pBdr/>
        <w:spacing/>
        <w:ind/>
      </w:pPr>
      <w:tblPr>
        <w:tblBorders/>
      </w:tblPr>
      <w:tcPr>
        <w:shd w:val="clear" w:color="auto"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34" w:customStyle="1">
    <w:name w:val="Grid Table 5 Dark - Accent 3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ececec" w:themeFill="accent3" w:themeFillTint="34"/>
    </w:tblPr>
    <w:tcPr>
      <w:tcBorders/>
    </w:tcPr>
    <w:tblStylePr w:type="band1Horz">
      <w:pPr>
        <w:pBdr/>
        <w:spacing/>
        <w:ind/>
      </w:pPr>
      <w:tblPr>
        <w:tblBorders/>
      </w:tblPr>
      <w:tcPr>
        <w:shd w:val="clear" w:color="auto" w:fill="d5d5d5" w:themeFill="accent3" w:themeFillTint="75"/>
        <w:tcBorders/>
      </w:tcPr>
    </w:tblStylePr>
    <w:tblStylePr w:type="band1Vert">
      <w:pPr>
        <w:pBdr/>
        <w:spacing/>
        <w:ind/>
      </w:pPr>
      <w:tblPr>
        <w:tblBorders/>
      </w:tblPr>
      <w:tcPr>
        <w:shd w:val="clear" w:color="auto"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a5a5a5" w:themeFill="accent3"/>
        <w:tcBorders/>
      </w:tcPr>
    </w:tblStylePr>
    <w:tblStylePr w:type="firstRow">
      <w:rPr>
        <w:rFonts w:ascii="Arial" w:hAnsi="Arial"/>
        <w:b/>
        <w:color w:val="ffffff"/>
        <w:sz w:val="22"/>
      </w:rPr>
      <w:pPr>
        <w:pBdr/>
        <w:spacing/>
        <w:ind/>
      </w:pPr>
      <w:tblPr>
        <w:tblBorders/>
      </w:tblPr>
      <w:tcPr>
        <w:shd w:val="clear" w:color="auto" w:fill="a5a5a5" w:themeFill="accent3"/>
        <w:tcBorders/>
      </w:tcPr>
    </w:tblStylePr>
    <w:tblStylePr w:type="lastCol">
      <w:rPr>
        <w:rFonts w:ascii="Arial" w:hAnsi="Arial"/>
        <w:b/>
        <w:color w:val="ffffff"/>
        <w:sz w:val="22"/>
      </w:rPr>
      <w:pPr>
        <w:pBdr/>
        <w:spacing/>
        <w:ind/>
      </w:pPr>
      <w:tblPr>
        <w:tblBorders/>
      </w:tblPr>
      <w:tcPr>
        <w:shd w:val="clear" w:color="auto" w:fill="a5a5a5" w:themeFill="accent3"/>
        <w:tcBorders/>
      </w:tcPr>
    </w:tblStylePr>
    <w:tblStylePr w:type="lastRow">
      <w:rPr>
        <w:rFonts w:ascii="Arial" w:hAnsi="Arial"/>
        <w:b/>
        <w:color w:val="ffffff"/>
        <w:sz w:val="22"/>
      </w:rPr>
      <w:pPr>
        <w:pBdr/>
        <w:spacing/>
        <w:ind/>
      </w:pPr>
      <w:tblPr>
        <w:tblBorders/>
      </w:tblPr>
      <w:tcPr>
        <w:shd w:val="clear" w:color="auto"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35" w:customStyle="1">
    <w:name w:val="Grid Table 5 Dark - Accent 5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ddeaf6" w:themeFill="accent5" w:themeFillTint="34"/>
    </w:tblPr>
    <w:tcPr>
      <w:tcBorders/>
    </w:tcPr>
    <w:tblStylePr w:type="band1Horz">
      <w:pPr>
        <w:pBdr/>
        <w:spacing/>
        <w:ind/>
      </w:pPr>
      <w:tblPr>
        <w:tblBorders/>
      </w:tblPr>
      <w:tcPr>
        <w:shd w:val="clear" w:color="auto" w:fill="b3d0eb" w:themeFill="accent5" w:themeFillTint="75"/>
        <w:tcBorders/>
      </w:tcPr>
    </w:tblStylePr>
    <w:tblStylePr w:type="band1Vert">
      <w:pPr>
        <w:pBdr/>
        <w:spacing/>
        <w:ind/>
      </w:pPr>
      <w:tblPr>
        <w:tblBorders/>
      </w:tblPr>
      <w:tcPr>
        <w:shd w:val="clear" w:color="auto" w:fill="b3d0eb"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5b9bd5" w:themeFill="accent5"/>
        <w:tcBorders/>
      </w:tcPr>
    </w:tblStylePr>
    <w:tblStylePr w:type="firstRow">
      <w:rPr>
        <w:rFonts w:ascii="Arial" w:hAnsi="Arial"/>
        <w:b/>
        <w:color w:val="ffffff"/>
        <w:sz w:val="22"/>
      </w:rPr>
      <w:pPr>
        <w:pBdr/>
        <w:spacing/>
        <w:ind/>
      </w:pPr>
      <w:tblPr>
        <w:tblBorders/>
      </w:tblPr>
      <w:tcPr>
        <w:shd w:val="clear" w:color="auto" w:fill="5b9bd5" w:themeFill="accent5"/>
        <w:tcBorders/>
      </w:tcPr>
    </w:tblStylePr>
    <w:tblStylePr w:type="lastCol">
      <w:rPr>
        <w:rFonts w:ascii="Arial" w:hAnsi="Arial"/>
        <w:b/>
        <w:color w:val="ffffff"/>
        <w:sz w:val="22"/>
      </w:rPr>
      <w:pPr>
        <w:pBdr/>
        <w:spacing/>
        <w:ind/>
      </w:pPr>
      <w:tblPr>
        <w:tblBorders/>
      </w:tblPr>
      <w:tcPr>
        <w:shd w:val="clear" w:color="auto" w:fill="5b9bd5" w:themeFill="accent5"/>
        <w:tcBorders/>
      </w:tcPr>
    </w:tblStylePr>
    <w:tblStylePr w:type="lastRow">
      <w:rPr>
        <w:rFonts w:ascii="Arial" w:hAnsi="Arial"/>
        <w:b/>
        <w:color w:val="ffffff"/>
        <w:sz w:val="22"/>
      </w:rPr>
      <w:pPr>
        <w:pBdr/>
        <w:spacing/>
        <w:ind/>
      </w:pPr>
      <w:tblPr>
        <w:tblBorders/>
      </w:tblPr>
      <w:tcPr>
        <w:shd w:val="clear" w:color="auto" w:fill="5b9bd5"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36" w:customStyle="1">
    <w:name w:val="Grid Table 5 Dark - Accent 6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e1efd8" w:themeFill="accent6" w:themeFillTint="34"/>
    </w:tblPr>
    <w:tcPr>
      <w:tcBorders/>
    </w:tcPr>
    <w:tblStylePr w:type="band1Horz">
      <w:pPr>
        <w:pBdr/>
        <w:spacing/>
        <w:ind/>
      </w:pPr>
      <w:tblPr>
        <w:tblBorders/>
      </w:tblPr>
      <w:tcPr>
        <w:shd w:val="clear" w:color="auto" w:fill="bcdba8" w:themeFill="accent6" w:themeFillTint="75"/>
        <w:tcBorders/>
      </w:tcPr>
    </w:tblStylePr>
    <w:tblStylePr w:type="band1Vert">
      <w:pPr>
        <w:pBdr/>
        <w:spacing/>
        <w:ind/>
      </w:pPr>
      <w:tblPr>
        <w:tblBorders/>
      </w:tblPr>
      <w:tcPr>
        <w:shd w:val="clear" w:color="auto"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70ad47" w:themeFill="accent6"/>
        <w:tcBorders/>
      </w:tcPr>
    </w:tblStylePr>
    <w:tblStylePr w:type="firstRow">
      <w:rPr>
        <w:rFonts w:ascii="Arial" w:hAnsi="Arial"/>
        <w:b/>
        <w:color w:val="ffffff"/>
        <w:sz w:val="22"/>
      </w:rPr>
      <w:pPr>
        <w:pBdr/>
        <w:spacing/>
        <w:ind/>
      </w:pPr>
      <w:tblPr>
        <w:tblBorders/>
      </w:tblPr>
      <w:tcPr>
        <w:shd w:val="clear" w:color="auto" w:fill="70ad47" w:themeFill="accent6"/>
        <w:tcBorders/>
      </w:tcPr>
    </w:tblStylePr>
    <w:tblStylePr w:type="lastCol">
      <w:rPr>
        <w:rFonts w:ascii="Arial" w:hAnsi="Arial"/>
        <w:b/>
        <w:color w:val="ffffff"/>
        <w:sz w:val="22"/>
      </w:rPr>
      <w:pPr>
        <w:pBdr/>
        <w:spacing/>
        <w:ind/>
      </w:pPr>
      <w:tblPr>
        <w:tblBorders/>
      </w:tblPr>
      <w:tcPr>
        <w:shd w:val="clear" w:color="auto" w:fill="70ad47" w:themeFill="accent6"/>
        <w:tcBorders/>
      </w:tcPr>
    </w:tblStylePr>
    <w:tblStylePr w:type="lastRow">
      <w:rPr>
        <w:rFonts w:ascii="Arial" w:hAnsi="Arial"/>
        <w:b/>
        <w:color w:val="ffffff"/>
        <w:sz w:val="22"/>
      </w:rPr>
      <w:pPr>
        <w:pBdr/>
        <w:spacing/>
        <w:ind/>
      </w:pPr>
      <w:tblPr>
        <w:tblBorders/>
      </w:tblPr>
      <w:tcPr>
        <w:shd w:val="clear" w:color="auto"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37" w:customStyle="1">
    <w:name w:val="Grid Table 6 Colorful - Accent 11"/>
    <w:basedOn w:val="1690"/>
    <w:uiPriority w:val="99"/>
    <w:pPr>
      <w:pBdr/>
      <w:spacing w:after="0" w:line="240" w:lineRule="auto"/>
      <w:ind/>
    </w:pPr>
    <w:tblPr>
      <w:tblStyleRowBandSize w:val="1"/>
      <w:tblStyleColBandSize w:val="1"/>
      <w:tblBorders>
        <w:top w:val="single" w:color="a0b7e1" w:themeColor="accent1" w:themeTint="80" w:sz="4" w:space="0"/>
        <w:left w:val="single" w:color="a0b7e1" w:themeColor="accent1" w:themeTint="80" w:sz="4" w:space="0"/>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auto" w:fill="d8e2f3" w:themeFill="accent1" w:themeFillTint="34"/>
        <w:tcBorders/>
      </w:tcPr>
    </w:tblStylePr>
    <w:tblStylePr w:type="band1Vert">
      <w:pPr>
        <w:pBdr/>
        <w:spacing/>
        <w:ind/>
      </w:pPr>
      <w:tblPr>
        <w:tblBorders/>
      </w:tblPr>
      <w:tcPr>
        <w:shd w:val="clear" w:color="auto"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0b7e1" w:themeColor="accent1" w:themeTint="80" w:themeShade="95"/>
      </w:rPr>
      <w:pPr>
        <w:pBdr/>
        <w:spacing/>
        <w:ind/>
      </w:pPr>
      <w:tblPr>
        <w:tblBorders/>
      </w:tblPr>
      <w:tcPr>
        <w:tcBorders/>
      </w:tcPr>
    </w:tblStylePr>
    <w:tblStylePr w:type="firstRow">
      <w:rPr>
        <w:b/>
        <w:color w:val="a0b7e1" w:themeColor="accent1" w:themeTint="80" w:themeShade="95"/>
      </w:rPr>
      <w:pPr>
        <w:pBdr/>
        <w:spacing/>
        <w:ind/>
      </w:pPr>
      <w:tblPr>
        <w:tblBorders/>
      </w:tblPr>
      <w:tcPr>
        <w:tcBorders>
          <w:bottom w:val="single" w:color="a0b7e1" w:themeColor="accent1" w:themeTint="80" w:sz="12" w:space="0"/>
        </w:tcBorders>
      </w:tcPr>
    </w:tblStylePr>
    <w:tblStylePr w:type="lastCol">
      <w:rPr>
        <w:b/>
        <w:color w:val="a0b7e1" w:themeColor="accent1" w:themeTint="80" w:themeShade="95"/>
      </w:rPr>
      <w:pPr>
        <w:pBdr/>
        <w:spacing/>
        <w:ind/>
      </w:pPr>
      <w:tblPr>
        <w:tblBorders/>
      </w:tblPr>
      <w:tcPr>
        <w:tcBorders/>
      </w:tcPr>
    </w:tblStylePr>
    <w:tblStylePr w:type="lastRow">
      <w:rPr>
        <w:b/>
        <w:color w:val="a0b7e1"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38" w:customStyle="1">
    <w:name w:val="Grid Table 6 Colorful - Accent 21"/>
    <w:basedOn w:val="1690"/>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auto" w:fill="fbe5d6" w:themeFill="accent2" w:themeFillTint="32"/>
        <w:tcBorders/>
      </w:tcPr>
    </w:tblStylePr>
    <w:tblStylePr w:type="band1Vert">
      <w:pPr>
        <w:pBdr/>
        <w:spacing/>
        <w:ind/>
      </w:pPr>
      <w:tblPr>
        <w:tblBorders/>
      </w:tblPr>
      <w:tcPr>
        <w:shd w:val="clear" w:color="auto"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39" w:customStyle="1">
    <w:name w:val="Grid Table 6 Colorful - Accent 31"/>
    <w:basedOn w:val="1690"/>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auto" w:fill="ececec" w:themeFill="accent3" w:themeFillTint="34"/>
        <w:tcBorders/>
      </w:tcPr>
    </w:tblStylePr>
    <w:tblStylePr w:type="band1Vert">
      <w:pPr>
        <w:pBdr/>
        <w:spacing/>
        <w:ind/>
      </w:pPr>
      <w:tblPr>
        <w:tblBorders/>
      </w:tblPr>
      <w:tcPr>
        <w:shd w:val="clear" w:color="auto"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40" w:customStyle="1">
    <w:name w:val="Grid Table 6 Colorful - Accent 41"/>
    <w:basedOn w:val="1690"/>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auto" w:fill="fff2cb" w:themeFill="accent4" w:themeFillTint="34"/>
        <w:tcBorders/>
      </w:tcPr>
    </w:tblStylePr>
    <w:tblStylePr w:type="band1Vert">
      <w:pPr>
        <w:pBdr/>
        <w:spacing/>
        <w:ind/>
      </w:pPr>
      <w:tblPr>
        <w:tblBorders/>
      </w:tblPr>
      <w:tcPr>
        <w:shd w:val="clear" w:color="auto"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41" w:customStyle="1">
    <w:name w:val="Grid Table 6 Colorful - Accent 51"/>
    <w:basedOn w:val="1690"/>
    <w:uiPriority w:val="99"/>
    <w:pPr>
      <w:pBdr/>
      <w:spacing w:after="0" w:line="240" w:lineRule="auto"/>
      <w:ind/>
    </w:pPr>
    <w:tblPr>
      <w:tblStyleRowBandSize w:val="1"/>
      <w:tblStyleColBandSize w:val="1"/>
      <w:tblBorders>
        <w:top w:val="single" w:color="5b9bd5" w:themeColor="accent5" w:sz="4" w:space="0"/>
        <w:left w:val="single" w:color="5b9bd5" w:themeColor="accent5" w:sz="4" w:space="0"/>
        <w:bottom w:val="single" w:color="5b9bd5" w:themeColor="accent5" w:sz="4" w:space="0"/>
        <w:right w:val="single" w:color="5b9bd5" w:themeColor="accent5" w:sz="4" w:space="0"/>
        <w:insideH w:val="single" w:color="5b9bd5" w:themeColor="accent5" w:sz="4" w:space="0"/>
        <w:insideV w:val="single" w:color="5b9bd5" w:themeColor="accent5" w:sz="4" w:space="0"/>
      </w:tblBorders>
    </w:tblPr>
    <w:tcPr>
      <w:tcBorders/>
    </w:tcPr>
    <w:tblStylePr w:type="band1Horz">
      <w:rPr>
        <w:rFonts w:ascii="Arial" w:hAnsi="Arial"/>
        <w:color w:val="245a8d" w:themeColor="accent5" w:themeShade="95"/>
        <w:sz w:val="22"/>
      </w:rPr>
      <w:pPr>
        <w:pBdr/>
        <w:spacing/>
        <w:ind/>
      </w:pPr>
      <w:tblPr>
        <w:tblBorders/>
      </w:tblPr>
      <w:tcPr>
        <w:shd w:val="clear" w:color="auto" w:fill="ddeaf6" w:themeFill="accent5" w:themeFillTint="34"/>
        <w:tcBorders/>
      </w:tcPr>
    </w:tblStylePr>
    <w:tblStylePr w:type="band1Vert">
      <w:pPr>
        <w:pBdr/>
        <w:spacing/>
        <w:ind/>
      </w:pPr>
      <w:tblPr>
        <w:tblBorders/>
      </w:tblPr>
      <w:tcPr>
        <w:shd w:val="clear" w:color="auto"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5b9bd5" w:themeColor="accent5"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42" w:customStyle="1">
    <w:name w:val="Grid Table 6 Colorful - Accent 61"/>
    <w:basedOn w:val="1690"/>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45a8d" w:themeColor="accent5" w:themeShade="95"/>
        <w:sz w:val="22"/>
      </w:rPr>
      <w:pPr>
        <w:pBdr/>
        <w:spacing/>
        <w:ind/>
      </w:pPr>
      <w:tblPr>
        <w:tblBorders/>
      </w:tblPr>
      <w:tcPr>
        <w:shd w:val="clear" w:color="auto" w:fill="e1efd8" w:themeFill="accent6" w:themeFillTint="34"/>
        <w:tcBorders/>
      </w:tcPr>
    </w:tblStylePr>
    <w:tblStylePr w:type="band1Vert">
      <w:pPr>
        <w:pBdr/>
        <w:spacing/>
        <w:ind/>
      </w:pPr>
      <w:tblPr>
        <w:tblBorders/>
      </w:tblPr>
      <w:tcPr>
        <w:shd w:val="clear" w:color="auto" w:fill="e1efd8" w:themeFill="accent6"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5" w:themeShade="95"/>
      </w:rPr>
      <w:pPr>
        <w:pBdr/>
        <w:spacing/>
        <w:ind/>
      </w:pPr>
      <w:tblPr>
        <w:tblBorders/>
      </w:tblPr>
      <w:tcPr>
        <w:tcBorders/>
      </w:tcPr>
    </w:tblStylePr>
    <w:tblStylePr w:type="firstRow">
      <w:rPr>
        <w:b/>
        <w:color w:val="245a8d" w:themeColor="accent5" w:themeShade="95"/>
      </w:rPr>
      <w:pPr>
        <w:pBdr/>
        <w:spacing/>
        <w:ind/>
      </w:pPr>
      <w:tblPr>
        <w:tblBorders/>
      </w:tblPr>
      <w:tcPr>
        <w:tcBorders>
          <w:bottom w:val="single" w:color="70ad47" w:themeColor="accent6" w:sz="12" w:space="0"/>
        </w:tcBorders>
      </w:tcPr>
    </w:tblStylePr>
    <w:tblStylePr w:type="lastCol">
      <w:rPr>
        <w:b/>
        <w:color w:val="245a8d" w:themeColor="accent5" w:themeShade="95"/>
      </w:rPr>
      <w:pPr>
        <w:pBdr/>
        <w:spacing/>
        <w:ind/>
      </w:pPr>
      <w:tblPr>
        <w:tblBorders/>
      </w:tblPr>
      <w:tcPr>
        <w:tcBorders/>
      </w:tcPr>
    </w:tblStylePr>
    <w:tblStylePr w:type="lastRow">
      <w:rPr>
        <w:b/>
        <w:color w:val="245a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43" w:customStyle="1">
    <w:name w:val="Grid Table 7 Colorful - Accent 11"/>
    <w:basedOn w:val="1690"/>
    <w:uiPriority w:val="99"/>
    <w:pPr>
      <w:pBdr/>
      <w:spacing w:after="0" w:line="240" w:lineRule="auto"/>
      <w:ind/>
    </w:pPr>
    <w:tblPr>
      <w:tblStyleRowBandSize w:val="1"/>
      <w:tblStyleColBandSize w:val="1"/>
      <w:tblBorders>
        <w:bottom w:val="single" w:color="a0b7e1" w:themeColor="accent1" w:themeTint="80" w:sz="4" w:space="0"/>
        <w:right w:val="single" w:color="a0b7e1" w:themeColor="accent1" w:themeTint="80" w:sz="4" w:space="0"/>
        <w:insideH w:val="single" w:color="a0b7e1" w:themeColor="accent1" w:themeTint="80" w:sz="4" w:space="0"/>
        <w:insideV w:val="single" w:color="a0b7e1" w:themeColor="accent1" w:themeTint="80" w:sz="4" w:space="0"/>
      </w:tblBorders>
    </w:tblPr>
    <w:tcPr>
      <w:tcBorders/>
    </w:tcPr>
    <w:tblStylePr w:type="band1Horz">
      <w:rPr>
        <w:rFonts w:ascii="Arial" w:hAnsi="Arial"/>
        <w:color w:val="a0b7e1" w:themeColor="accent1" w:themeTint="80" w:themeShade="95"/>
        <w:sz w:val="22"/>
      </w:rPr>
      <w:pPr>
        <w:pBdr/>
        <w:spacing/>
        <w:ind/>
      </w:pPr>
      <w:tblPr>
        <w:tblBorders/>
      </w:tblPr>
      <w:tcPr>
        <w:shd w:val="clear" w:color="auto" w:fill="d8e2f3" w:themeFill="accent1" w:themeFillTint="34"/>
        <w:tcBorders/>
      </w:tcPr>
    </w:tblStylePr>
    <w:tblStylePr w:type="band1Vert">
      <w:pPr>
        <w:pBdr/>
        <w:spacing/>
        <w:ind/>
      </w:pPr>
      <w:tblPr>
        <w:tblBorders/>
      </w:tblPr>
      <w:tcPr>
        <w:shd w:val="clear" w:color="auto" w:fill="d8e2f3" w:themeFill="accent1" w:themeFillTint="34"/>
        <w:tcBorders/>
      </w:tcPr>
    </w:tblStylePr>
    <w:tblStylePr w:type="band2Horz">
      <w:rPr>
        <w:rFonts w:ascii="Arial" w:hAnsi="Arial"/>
        <w:color w:val="a0b7e1"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0b7e1" w:themeColor="accent1" w:themeTint="80"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a0b7e1" w:themeColor="accent1" w:themeTint="80" w:sz="4" w:space="0"/>
        </w:tcBorders>
      </w:tcPr>
    </w:tblStylePr>
    <w:tblStylePr w:type="firstRow">
      <w:rPr>
        <w:rFonts w:ascii="Arial" w:hAnsi="Arial"/>
        <w:b/>
        <w:color w:val="a0b7e1" w:themeColor="accent1" w:themeTint="80" w:themeShade="95"/>
        <w:sz w:val="22"/>
      </w:rPr>
      <w:pPr>
        <w:pBdr/>
        <w:spacing/>
        <w:ind/>
      </w:pPr>
      <w:tblPr>
        <w:tblBorders/>
      </w:tblPr>
      <w:tcPr>
        <w:shd w:val="clear" w:color="auto" w:fill="ffffff" w:themeFill="light1"/>
        <w:tcBorders>
          <w:top w:val="none" w:color="000000" w:sz="4" w:space="0"/>
          <w:left w:val="none" w:color="000000" w:sz="4" w:space="0"/>
          <w:bottom w:val="single" w:color="a0b7e1" w:themeColor="accent1" w:themeTint="80" w:sz="4" w:space="0"/>
          <w:right w:val="none" w:color="000000" w:sz="4" w:space="0"/>
        </w:tcBorders>
      </w:tcPr>
    </w:tblStylePr>
    <w:tblStylePr w:type="lastCol">
      <w:rPr>
        <w:rFonts w:ascii="Arial" w:hAnsi="Arial"/>
        <w:i/>
        <w:color w:val="a0b7e1" w:themeColor="accent1" w:themeTint="80" w:themeShade="95"/>
        <w:sz w:val="22"/>
      </w:rPr>
      <w:pPr>
        <w:pBdr/>
        <w:spacing/>
        <w:ind/>
      </w:pPr>
      <w:tblPr>
        <w:tblBorders/>
      </w:tblPr>
      <w:tcPr>
        <w:shd w:val="clear" w:color="auto" w:fill="ffffff"/>
        <w:tcBorders>
          <w:top w:val="none" w:color="000000" w:sz="4" w:space="0"/>
          <w:left w:val="single" w:color="a0b7e1" w:themeColor="accent1" w:themeTint="80" w:sz="4" w:space="0"/>
          <w:bottom w:val="none" w:color="000000" w:sz="4" w:space="0"/>
          <w:right w:val="none" w:color="000000" w:sz="4" w:space="0"/>
        </w:tcBorders>
      </w:tcPr>
    </w:tblStylePr>
    <w:tblStylePr w:type="lastRow">
      <w:rPr>
        <w:rFonts w:ascii="Arial" w:hAnsi="Arial"/>
        <w:b/>
        <w:color w:val="a0b7e1" w:themeColor="accent1" w:themeTint="80" w:themeShade="95"/>
        <w:sz w:val="22"/>
      </w:rPr>
      <w:pPr>
        <w:pBdr/>
        <w:spacing/>
        <w:ind/>
      </w:pPr>
      <w:tblPr>
        <w:tblBorders/>
      </w:tblPr>
      <w:tcPr>
        <w:shd w:val="clear" w:color="auto" w:fill="ffffff" w:themeFill="light1"/>
        <w:tcBorders>
          <w:top w:val="single" w:color="a0b7e1"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44" w:customStyle="1">
    <w:name w:val="Grid Table 7 Colorful - Accent 21"/>
    <w:basedOn w:val="1690"/>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auto" w:fill="fbe5d6" w:themeFill="accent2" w:themeFillTint="32"/>
        <w:tcBorders/>
      </w:tcPr>
    </w:tblStylePr>
    <w:tblStylePr w:type="band1Vert">
      <w:pPr>
        <w:pBdr/>
        <w:spacing/>
        <w:ind/>
      </w:pPr>
      <w:tblPr>
        <w:tblBorders/>
      </w:tblPr>
      <w:tcPr>
        <w:shd w:val="clear" w:color="auto"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auto"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auto" w:fill="ffffff"/>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auto"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45" w:customStyle="1">
    <w:name w:val="Grid Table 7 Colorful - Accent 31"/>
    <w:basedOn w:val="1690"/>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auto" w:fill="ececec" w:themeFill="accent3" w:themeFillTint="34"/>
        <w:tcBorders/>
      </w:tcPr>
    </w:tblStylePr>
    <w:tblStylePr w:type="band1Vert">
      <w:pPr>
        <w:pBdr/>
        <w:spacing/>
        <w:ind/>
      </w:pPr>
      <w:tblPr>
        <w:tblBorders/>
      </w:tblPr>
      <w:tcPr>
        <w:shd w:val="clear" w:color="auto"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auto"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auto" w:fill="ffffff"/>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auto"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46" w:customStyle="1">
    <w:name w:val="Grid Table 7 Colorful - Accent 41"/>
    <w:basedOn w:val="1690"/>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auto" w:fill="fff2cb" w:themeFill="accent4" w:themeFillTint="34"/>
        <w:tcBorders/>
      </w:tcPr>
    </w:tblStylePr>
    <w:tblStylePr w:type="band1Vert">
      <w:pPr>
        <w:pBdr/>
        <w:spacing/>
        <w:ind/>
      </w:pPr>
      <w:tblPr>
        <w:tblBorders/>
      </w:tblPr>
      <w:tcPr>
        <w:shd w:val="clear" w:color="auto"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auto"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auto" w:fill="ffffff"/>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auto"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47" w:customStyle="1">
    <w:name w:val="Grid Table 7 Colorful - Accent 51"/>
    <w:basedOn w:val="1690"/>
    <w:uiPriority w:val="99"/>
    <w:pPr>
      <w:pBdr/>
      <w:spacing w:after="0" w:line="240" w:lineRule="auto"/>
      <w:ind/>
    </w:pPr>
    <w:tblPr>
      <w:tblStyleRowBandSize w:val="1"/>
      <w:tblStyleColBandSize w:val="1"/>
      <w:tblBorders>
        <w:bottom w:val="single" w:color="a2c6e7" w:themeColor="accent5" w:themeTint="90" w:sz="4" w:space="0"/>
        <w:right w:val="single" w:color="a2c6e7" w:themeColor="accent5" w:themeTint="90" w:sz="4" w:space="0"/>
        <w:insideH w:val="single" w:color="a2c6e7" w:themeColor="accent5" w:themeTint="90" w:sz="4" w:space="0"/>
        <w:insideV w:val="single" w:color="a2c6e7" w:themeColor="accent5" w:themeTint="90" w:sz="4" w:space="0"/>
      </w:tblBorders>
    </w:tblPr>
    <w:tcPr>
      <w:tcBorders/>
    </w:tcPr>
    <w:tblStylePr w:type="band1Horz">
      <w:rPr>
        <w:rFonts w:ascii="Arial" w:hAnsi="Arial"/>
        <w:color w:val="245a8d" w:themeColor="accent5" w:themeShade="95"/>
        <w:sz w:val="22"/>
      </w:rPr>
      <w:pPr>
        <w:pBdr/>
        <w:spacing/>
        <w:ind/>
      </w:pPr>
      <w:tblPr>
        <w:tblBorders/>
      </w:tblPr>
      <w:tcPr>
        <w:shd w:val="clear" w:color="auto" w:fill="ddeaf6" w:themeFill="accent5" w:themeFillTint="34"/>
        <w:tcBorders/>
      </w:tcPr>
    </w:tblStylePr>
    <w:tblStylePr w:type="band1Vert">
      <w:pPr>
        <w:pBdr/>
        <w:spacing/>
        <w:ind/>
      </w:pPr>
      <w:tblPr>
        <w:tblBorders/>
      </w:tblPr>
      <w:tcPr>
        <w:shd w:val="clear" w:color="auto" w:fill="ddeaf6" w:themeFill="accent5" w:themeFillTint="34"/>
        <w:tcBorders/>
      </w:tcPr>
    </w:tblStylePr>
    <w:tblStylePr w:type="band2Horz">
      <w:rPr>
        <w:rFonts w:ascii="Arial" w:hAnsi="Arial"/>
        <w:color w:val="245a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5"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a2c6e7" w:themeColor="accent5" w:themeTint="90" w:sz="4" w:space="0"/>
        </w:tcBorders>
      </w:tcPr>
    </w:tblStylePr>
    <w:tblStylePr w:type="firstRow">
      <w:rPr>
        <w:rFonts w:ascii="Arial" w:hAnsi="Arial"/>
        <w:b/>
        <w:color w:val="245a8d" w:themeColor="accent5" w:themeShade="95"/>
        <w:sz w:val="22"/>
      </w:rPr>
      <w:pPr>
        <w:pBdr/>
        <w:spacing/>
        <w:ind/>
      </w:pPr>
      <w:tblPr>
        <w:tblBorders/>
      </w:tblPr>
      <w:tcPr>
        <w:shd w:val="clear" w:color="auto" w:fill="ffffff" w:themeFill="light1"/>
        <w:tcBorders>
          <w:top w:val="none" w:color="000000" w:sz="4" w:space="0"/>
          <w:left w:val="none" w:color="000000" w:sz="4" w:space="0"/>
          <w:bottom w:val="single" w:color="a2c6e7" w:themeColor="accent5" w:themeTint="90" w:sz="4" w:space="0"/>
          <w:right w:val="none" w:color="000000" w:sz="4" w:space="0"/>
        </w:tcBorders>
      </w:tcPr>
    </w:tblStylePr>
    <w:tblStylePr w:type="lastCol">
      <w:rPr>
        <w:rFonts w:ascii="Arial" w:hAnsi="Arial"/>
        <w:i/>
        <w:color w:val="245a8d" w:themeColor="accent5" w:themeShade="95"/>
        <w:sz w:val="22"/>
      </w:rPr>
      <w:pPr>
        <w:pBdr/>
        <w:spacing/>
        <w:ind/>
      </w:pPr>
      <w:tblPr>
        <w:tblBorders/>
      </w:tblPr>
      <w:tcPr>
        <w:shd w:val="clear" w:color="auto" w:fill="ffffff"/>
        <w:tcBorders>
          <w:top w:val="none" w:color="000000" w:sz="4" w:space="0"/>
          <w:left w:val="single" w:color="a2c6e7" w:themeColor="accent5" w:themeTint="90" w:sz="4" w:space="0"/>
          <w:bottom w:val="none" w:color="000000" w:sz="4" w:space="0"/>
          <w:right w:val="none" w:color="000000" w:sz="4" w:space="0"/>
        </w:tcBorders>
      </w:tcPr>
    </w:tblStylePr>
    <w:tblStylePr w:type="lastRow">
      <w:rPr>
        <w:rFonts w:ascii="Arial" w:hAnsi="Arial"/>
        <w:b/>
        <w:color w:val="245a8d" w:themeColor="accent5" w:themeShade="95"/>
        <w:sz w:val="22"/>
      </w:rPr>
      <w:pPr>
        <w:pBdr/>
        <w:spacing/>
        <w:ind/>
      </w:pPr>
      <w:tblPr>
        <w:tblBorders/>
      </w:tblPr>
      <w:tcPr>
        <w:shd w:val="clear" w:color="auto" w:fill="ffffff" w:themeFill="light1"/>
        <w:tcBorders>
          <w:top w:val="single" w:color="a2c6e7"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48" w:customStyle="1">
    <w:name w:val="Grid Table 7 Colorful - Accent 61"/>
    <w:basedOn w:val="1690"/>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auto" w:fill="e1efd8" w:themeFill="accent6" w:themeFillTint="34"/>
        <w:tcBorders/>
      </w:tcPr>
    </w:tblStylePr>
    <w:tblStylePr w:type="band1Vert">
      <w:pPr>
        <w:pBdr/>
        <w:spacing/>
        <w:ind/>
      </w:pPr>
      <w:tblPr>
        <w:tblBorders/>
      </w:tblPr>
      <w:tcPr>
        <w:shd w:val="clear" w:color="auto"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auto"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auto" w:fill="ffffff"/>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auto"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49" w:customStyle="1">
    <w:name w:val="List Table 1 Light - Accent 1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auto" w:fill="cfdbf0" w:themeFill="accent1" w:themeFillTint="40"/>
        <w:tcBorders/>
      </w:tcPr>
    </w:tblStylePr>
    <w:tblStylePr w:type="band1Vert">
      <w:pPr>
        <w:pBdr/>
        <w:spacing/>
        <w:ind/>
      </w:pPr>
      <w:tblPr>
        <w:tblBorders/>
      </w:tblPr>
      <w:tcPr>
        <w:shd w:val="clear" w:color="auto"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50" w:customStyle="1">
    <w:name w:val="List Table 1 Light - Accent 2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auto" w:fill="fadecb" w:themeFill="accent2" w:themeFillTint="40"/>
        <w:tcBorders/>
      </w:tcPr>
    </w:tblStylePr>
    <w:tblStylePr w:type="band1Vert">
      <w:pPr>
        <w:pBdr/>
        <w:spacing/>
        <w:ind/>
      </w:pPr>
      <w:tblPr>
        <w:tblBorders/>
      </w:tblPr>
      <w:tcPr>
        <w:shd w:val="clear" w:color="auto"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51" w:customStyle="1">
    <w:name w:val="List Table 1 Light - Accent 3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auto" w:fill="e8e8e8" w:themeFill="accent3" w:themeFillTint="40"/>
        <w:tcBorders/>
      </w:tcPr>
    </w:tblStylePr>
    <w:tblStylePr w:type="band1Vert">
      <w:pPr>
        <w:pBdr/>
        <w:spacing/>
        <w:ind/>
      </w:pPr>
      <w:tblPr>
        <w:tblBorders/>
      </w:tblPr>
      <w:tcPr>
        <w:shd w:val="clear" w:color="auto"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52" w:customStyle="1">
    <w:name w:val="List Table 1 Light - Accent 4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auto" w:fill="ffefbf" w:themeFill="accent4" w:themeFillTint="40"/>
        <w:tcBorders/>
      </w:tcPr>
    </w:tblStylePr>
    <w:tblStylePr w:type="band1Vert">
      <w:pPr>
        <w:pBdr/>
        <w:spacing/>
        <w:ind/>
      </w:pPr>
      <w:tblPr>
        <w:tblBorders/>
      </w:tblPr>
      <w:tcPr>
        <w:shd w:val="clear" w:color="auto"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53" w:customStyle="1">
    <w:name w:val="List Table 1 Light - Accent 5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auto" w:fill="d5e5f4" w:themeFill="accent5" w:themeFillTint="40"/>
        <w:tcBorders/>
      </w:tcPr>
    </w:tblStylePr>
    <w:tblStylePr w:type="band1Vert">
      <w:pPr>
        <w:pBdr/>
        <w:spacing/>
        <w:ind/>
      </w:pPr>
      <w:tblPr>
        <w:tblBorders/>
      </w:tblPr>
      <w:tcPr>
        <w:shd w:val="clear" w:color="auto"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54" w:customStyle="1">
    <w:name w:val="List Table 1 Light - Accent 6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auto" w:fill="daebcf" w:themeFill="accent6" w:themeFillTint="40"/>
        <w:tcBorders/>
      </w:tcPr>
    </w:tblStylePr>
    <w:tblStylePr w:type="band1Vert">
      <w:pPr>
        <w:pBdr/>
        <w:spacing/>
        <w:ind/>
      </w:pPr>
      <w:tblPr>
        <w:tblBorders/>
      </w:tblPr>
      <w:tcPr>
        <w:shd w:val="clear" w:color="auto"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55" w:customStyle="1">
    <w:name w:val="List Table 2 - Accent 11"/>
    <w:basedOn w:val="1690"/>
    <w:uiPriority w:val="99"/>
    <w:pPr>
      <w:pBdr/>
      <w:spacing w:after="0" w:line="240" w:lineRule="auto"/>
      <w:ind/>
    </w:pPr>
    <w:tblPr>
      <w:tblStyleRowBandSize w:val="1"/>
      <w:tblStyleColBandSize w:val="1"/>
      <w:tblBorders>
        <w:top w:val="single" w:color="95afdd" w:themeColor="accent1" w:themeTint="90" w:sz="4" w:space="0"/>
        <w:bottom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auto" w:fill="cfdbf0" w:themeFill="accent1" w:themeFillTint="40"/>
        <w:tcBorders/>
      </w:tcPr>
    </w:tblStylePr>
    <w:tblStylePr w:type="band1Vert">
      <w:rPr>
        <w:rFonts w:ascii="Arial" w:hAnsi="Arial"/>
        <w:color w:val="404040"/>
        <w:sz w:val="22"/>
      </w:rPr>
      <w:pPr>
        <w:pBdr/>
        <w:spacing/>
        <w:ind/>
      </w:pPr>
      <w:tblPr>
        <w:tblBorders/>
      </w:tblPr>
      <w:tcPr>
        <w:shd w:val="clear" w:color="auto"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1" w:themeTint="90" w:sz="4" w:space="0"/>
          <w:left w:val="none" w:color="000000" w:sz="4" w:space="0"/>
          <w:bottom w:val="single" w:color="95afdd"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56" w:customStyle="1">
    <w:name w:val="List Table 2 - Accent 21"/>
    <w:basedOn w:val="1690"/>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auto" w:fill="fadecb" w:themeFill="accent2" w:themeFillTint="40"/>
        <w:tcBorders/>
      </w:tcPr>
    </w:tblStylePr>
    <w:tblStylePr w:type="band1Vert">
      <w:rPr>
        <w:rFonts w:ascii="Arial" w:hAnsi="Arial"/>
        <w:color w:val="404040"/>
        <w:sz w:val="22"/>
      </w:rPr>
      <w:pPr>
        <w:pBdr/>
        <w:spacing/>
        <w:ind/>
      </w:pPr>
      <w:tblPr>
        <w:tblBorders/>
      </w:tblPr>
      <w:tcPr>
        <w:shd w:val="clear" w:color="auto"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57" w:customStyle="1">
    <w:name w:val="List Table 2 - Accent 31"/>
    <w:basedOn w:val="1690"/>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auto" w:fill="e8e8e8" w:themeFill="accent3" w:themeFillTint="40"/>
        <w:tcBorders/>
      </w:tcPr>
    </w:tblStylePr>
    <w:tblStylePr w:type="band1Vert">
      <w:rPr>
        <w:rFonts w:ascii="Arial" w:hAnsi="Arial"/>
        <w:color w:val="404040"/>
        <w:sz w:val="22"/>
      </w:rPr>
      <w:pPr>
        <w:pBdr/>
        <w:spacing/>
        <w:ind/>
      </w:pPr>
      <w:tblPr>
        <w:tblBorders/>
      </w:tblPr>
      <w:tcPr>
        <w:shd w:val="clear" w:color="auto"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58" w:customStyle="1">
    <w:name w:val="List Table 2 - Accent 41"/>
    <w:basedOn w:val="1690"/>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auto" w:fill="ffefbf" w:themeFill="accent4" w:themeFillTint="40"/>
        <w:tcBorders/>
      </w:tcPr>
    </w:tblStylePr>
    <w:tblStylePr w:type="band1Vert">
      <w:rPr>
        <w:rFonts w:ascii="Arial" w:hAnsi="Arial"/>
        <w:color w:val="404040"/>
        <w:sz w:val="22"/>
      </w:rPr>
      <w:pPr>
        <w:pBdr/>
        <w:spacing/>
        <w:ind/>
      </w:pPr>
      <w:tblPr>
        <w:tblBorders/>
      </w:tblPr>
      <w:tcPr>
        <w:shd w:val="clear" w:color="auto"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59" w:customStyle="1">
    <w:name w:val="List Table 2 - Accent 51"/>
    <w:basedOn w:val="1690"/>
    <w:uiPriority w:val="99"/>
    <w:pPr>
      <w:pBdr/>
      <w:spacing w:after="0" w:line="240" w:lineRule="auto"/>
      <w:ind/>
    </w:pPr>
    <w:tblPr>
      <w:tblStyleRowBandSize w:val="1"/>
      <w:tblStyleColBandSize w:val="1"/>
      <w:tblBorders>
        <w:top w:val="single" w:color="a2c6e7" w:themeColor="accent5" w:themeTint="90" w:sz="4" w:space="0"/>
        <w:bottom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auto" w:fill="d5e5f4" w:themeFill="accent5" w:themeFillTint="40"/>
        <w:tcBorders/>
      </w:tcPr>
    </w:tblStylePr>
    <w:tblStylePr w:type="band1Vert">
      <w:rPr>
        <w:rFonts w:ascii="Arial" w:hAnsi="Arial"/>
        <w:color w:val="404040"/>
        <w:sz w:val="22"/>
      </w:rPr>
      <w:pPr>
        <w:pBdr/>
        <w:spacing/>
        <w:ind/>
      </w:pPr>
      <w:tblPr>
        <w:tblBorders/>
      </w:tblPr>
      <w:tcPr>
        <w:shd w:val="clear" w:color="auto"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5" w:themeTint="90" w:sz="4" w:space="0"/>
          <w:left w:val="none" w:color="000000" w:sz="4" w:space="0"/>
          <w:bottom w:val="single" w:color="a2c6e7"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60" w:customStyle="1">
    <w:name w:val="List Table 2 - Accent 61"/>
    <w:basedOn w:val="1690"/>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auto" w:fill="daebcf" w:themeFill="accent6" w:themeFillTint="40"/>
        <w:tcBorders/>
      </w:tcPr>
    </w:tblStylePr>
    <w:tblStylePr w:type="band1Vert">
      <w:rPr>
        <w:rFonts w:ascii="Arial" w:hAnsi="Arial"/>
        <w:color w:val="404040"/>
        <w:sz w:val="22"/>
      </w:rPr>
      <w:pPr>
        <w:pBdr/>
        <w:spacing/>
        <w:ind/>
      </w:pPr>
      <w:tblPr>
        <w:tblBorders/>
      </w:tblPr>
      <w:tcPr>
        <w:shd w:val="clear" w:color="auto"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61" w:customStyle="1">
    <w:name w:val="List Table 3 - Accent 11"/>
    <w:basedOn w:val="1690"/>
    <w:uiPriority w:val="99"/>
    <w:pPr>
      <w:pBdr/>
      <w:spacing w:after="0" w:line="240" w:lineRule="auto"/>
      <w:ind/>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cPr>
      <w:tcBorders/>
    </w:tcPr>
    <w:tblStylePr w:type="band1Horz">
      <w:rPr>
        <w:rFonts w:ascii="Arial" w:hAnsi="Arial"/>
        <w:color w:val="404040"/>
        <w:sz w:val="22"/>
      </w:rPr>
      <w:pPr>
        <w:pBdr/>
        <w:spacing/>
        <w:ind/>
      </w:pPr>
      <w:tblPr>
        <w:tblBorders/>
      </w:tblPr>
      <w:tcPr>
        <w:tcBorders>
          <w:top w:val="single" w:color="4472c4" w:themeColor="accent1" w:sz="4" w:space="0"/>
          <w:bottom w:val="single" w:color="4472c4" w:themeColor="accent1" w:sz="4" w:space="0"/>
        </w:tcBorders>
      </w:tcPr>
    </w:tblStylePr>
    <w:tblStylePr w:type="band1Vert">
      <w:rPr>
        <w:rFonts w:ascii="Arial" w:hAnsi="Arial"/>
        <w:color w:val="404040"/>
        <w:sz w:val="22"/>
      </w:rPr>
      <w:pPr>
        <w:pBdr/>
        <w:spacing/>
        <w:ind/>
      </w:pPr>
      <w:tblPr>
        <w:tblBorders/>
      </w:tblPr>
      <w:tcPr>
        <w:tcBorders>
          <w:left w:val="single" w:color="4472c4" w:themeColor="accent1" w:sz="4" w:space="0"/>
          <w:right w:val="single" w:color="4472c4"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62" w:customStyle="1">
    <w:name w:val="List Table 3 - Accent 21"/>
    <w:basedOn w:val="1690"/>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63" w:customStyle="1">
    <w:name w:val="List Table 3 - Accent 31"/>
    <w:basedOn w:val="1690"/>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64" w:customStyle="1">
    <w:name w:val="List Table 3 - Accent 41"/>
    <w:basedOn w:val="1690"/>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65" w:customStyle="1">
    <w:name w:val="List Table 3 - Accent 51"/>
    <w:basedOn w:val="1690"/>
    <w:uiPriority w:val="99"/>
    <w:pPr>
      <w:pBdr/>
      <w:spacing w:after="0" w:line="240" w:lineRule="auto"/>
      <w:ind/>
    </w:pPr>
    <w:tblPr>
      <w:tblStyleRowBandSize w:val="1"/>
      <w:tblStyleColBandSize w:val="1"/>
      <w:tblBorders>
        <w:top w:val="single" w:color="9bc2e5" w:themeColor="accent5" w:themeTint="9A" w:sz="4" w:space="0"/>
        <w:left w:val="single" w:color="9bc2e5" w:themeColor="accent5" w:themeTint="9A" w:sz="4" w:space="0"/>
        <w:bottom w:val="single" w:color="9bc2e5" w:themeColor="accent5" w:themeTint="9A" w:sz="4" w:space="0"/>
        <w:right w:val="single" w:color="9bc2e5"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9bc2e5" w:themeColor="accent5" w:themeTint="9A" w:sz="4" w:space="0"/>
          <w:bottom w:val="single" w:color="9bc2e5" w:themeColor="accent5" w:themeTint="9A" w:sz="4" w:space="0"/>
        </w:tcBorders>
      </w:tcPr>
    </w:tblStylePr>
    <w:tblStylePr w:type="band1Vert">
      <w:rPr>
        <w:rFonts w:ascii="Arial" w:hAnsi="Arial"/>
        <w:color w:val="404040"/>
        <w:sz w:val="22"/>
      </w:rPr>
      <w:pPr>
        <w:pBdr/>
        <w:spacing/>
        <w:ind/>
      </w:pPr>
      <w:tblPr>
        <w:tblBorders/>
      </w:tblPr>
      <w:tcPr>
        <w:tcBorders>
          <w:left w:val="single" w:color="9bc2e5" w:themeColor="accent5" w:themeTint="9A" w:sz="4" w:space="0"/>
          <w:right w:val="single" w:color="9bc2e5"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9bc2e5"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66" w:customStyle="1">
    <w:name w:val="List Table 3 - Accent 61"/>
    <w:basedOn w:val="1690"/>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67" w:customStyle="1">
    <w:name w:val="List Table 4 - Accent 11"/>
    <w:basedOn w:val="1690"/>
    <w:uiPriority w:val="99"/>
    <w:pPr>
      <w:pBdr/>
      <w:spacing w:after="0" w:line="240" w:lineRule="auto"/>
      <w:ind/>
    </w:pPr>
    <w:tblPr>
      <w:tblStyleRowBandSize w:val="1"/>
      <w:tblStyleColBandSize w:val="1"/>
      <w:tblBorders>
        <w:top w:val="single" w:color="95afdd" w:themeColor="accent1" w:themeTint="90" w:sz="4" w:space="0"/>
        <w:left w:val="single" w:color="95afdd" w:themeColor="accent1" w:themeTint="90" w:sz="4" w:space="0"/>
        <w:bottom w:val="single" w:color="95afdd" w:themeColor="accent1" w:themeTint="90" w:sz="4" w:space="0"/>
        <w:right w:val="single" w:color="95afdd" w:themeColor="accent1" w:themeTint="90" w:sz="4" w:space="0"/>
        <w:insideH w:val="single" w:color="95afdd" w:themeColor="accent1" w:themeTint="90" w:sz="4" w:space="0"/>
      </w:tblBorders>
    </w:tblPr>
    <w:tcPr>
      <w:tcBorders/>
    </w:tcPr>
    <w:tblStylePr w:type="band1Horz">
      <w:rPr>
        <w:rFonts w:ascii="Arial" w:hAnsi="Arial"/>
        <w:color w:val="404040"/>
        <w:sz w:val="22"/>
      </w:rPr>
      <w:pPr>
        <w:pBdr/>
        <w:spacing/>
        <w:ind/>
      </w:pPr>
      <w:tblPr>
        <w:tblBorders/>
      </w:tblPr>
      <w:tcPr>
        <w:shd w:val="clear" w:color="auto" w:fill="cfdbf0" w:themeFill="accent1" w:themeFillTint="40"/>
        <w:tcBorders/>
      </w:tcPr>
    </w:tblStylePr>
    <w:tblStylePr w:type="band1Vert">
      <w:rPr>
        <w:rFonts w:ascii="Arial" w:hAnsi="Arial"/>
        <w:color w:val="404040"/>
        <w:sz w:val="22"/>
      </w:rPr>
      <w:pPr>
        <w:pBdr/>
        <w:spacing/>
        <w:ind/>
      </w:pPr>
      <w:tblPr>
        <w:tblBorders/>
      </w:tblPr>
      <w:tcPr>
        <w:shd w:val="clear" w:color="auto" w:fill="cfdb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68" w:customStyle="1">
    <w:name w:val="List Table 4 - Accent 21"/>
    <w:basedOn w:val="1690"/>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auto" w:fill="fadecb" w:themeFill="accent2" w:themeFillTint="40"/>
        <w:tcBorders/>
      </w:tcPr>
    </w:tblStylePr>
    <w:tblStylePr w:type="band1Vert">
      <w:rPr>
        <w:rFonts w:ascii="Arial" w:hAnsi="Arial"/>
        <w:color w:val="404040"/>
        <w:sz w:val="22"/>
      </w:rPr>
      <w:pPr>
        <w:pBdr/>
        <w:spacing/>
        <w:ind/>
      </w:pPr>
      <w:tblPr>
        <w:tblBorders/>
      </w:tblPr>
      <w:tcPr>
        <w:shd w:val="clear" w:color="auto"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69" w:customStyle="1">
    <w:name w:val="List Table 4 - Accent 31"/>
    <w:basedOn w:val="1690"/>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auto" w:fill="e8e8e8" w:themeFill="accent3" w:themeFillTint="40"/>
        <w:tcBorders/>
      </w:tcPr>
    </w:tblStylePr>
    <w:tblStylePr w:type="band1Vert">
      <w:rPr>
        <w:rFonts w:ascii="Arial" w:hAnsi="Arial"/>
        <w:color w:val="404040"/>
        <w:sz w:val="22"/>
      </w:rPr>
      <w:pPr>
        <w:pBdr/>
        <w:spacing/>
        <w:ind/>
      </w:pPr>
      <w:tblPr>
        <w:tblBorders/>
      </w:tblPr>
      <w:tcPr>
        <w:shd w:val="clear" w:color="auto"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70" w:customStyle="1">
    <w:name w:val="List Table 4 - Accent 41"/>
    <w:basedOn w:val="1690"/>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auto" w:fill="ffefbf" w:themeFill="accent4" w:themeFillTint="40"/>
        <w:tcBorders/>
      </w:tcPr>
    </w:tblStylePr>
    <w:tblStylePr w:type="band1Vert">
      <w:rPr>
        <w:rFonts w:ascii="Arial" w:hAnsi="Arial"/>
        <w:color w:val="404040"/>
        <w:sz w:val="22"/>
      </w:rPr>
      <w:pPr>
        <w:pBdr/>
        <w:spacing/>
        <w:ind/>
      </w:pPr>
      <w:tblPr>
        <w:tblBorders/>
      </w:tblPr>
      <w:tcPr>
        <w:shd w:val="clear" w:color="auto"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71" w:customStyle="1">
    <w:name w:val="List Table 4 - Accent 51"/>
    <w:basedOn w:val="1690"/>
    <w:uiPriority w:val="99"/>
    <w:pPr>
      <w:pBdr/>
      <w:spacing w:after="0" w:line="240" w:lineRule="auto"/>
      <w:ind/>
    </w:pPr>
    <w:tblPr>
      <w:tblStyleRowBandSize w:val="1"/>
      <w:tblStyleColBandSize w:val="1"/>
      <w:tblBorders>
        <w:top w:val="single" w:color="a2c6e7" w:themeColor="accent5" w:themeTint="90" w:sz="4" w:space="0"/>
        <w:left w:val="single" w:color="a2c6e7" w:themeColor="accent5" w:themeTint="90" w:sz="4" w:space="0"/>
        <w:bottom w:val="single" w:color="a2c6e7" w:themeColor="accent5" w:themeTint="90" w:sz="4" w:space="0"/>
        <w:right w:val="single" w:color="a2c6e7" w:themeColor="accent5" w:themeTint="90" w:sz="4" w:space="0"/>
        <w:insideH w:val="single" w:color="a2c6e7" w:themeColor="accent5" w:themeTint="90" w:sz="4" w:space="0"/>
      </w:tblBorders>
    </w:tblPr>
    <w:tcPr>
      <w:tcBorders/>
    </w:tcPr>
    <w:tblStylePr w:type="band1Horz">
      <w:rPr>
        <w:rFonts w:ascii="Arial" w:hAnsi="Arial"/>
        <w:color w:val="404040"/>
        <w:sz w:val="22"/>
      </w:rPr>
      <w:pPr>
        <w:pBdr/>
        <w:spacing/>
        <w:ind/>
      </w:pPr>
      <w:tblPr>
        <w:tblBorders/>
      </w:tblPr>
      <w:tcPr>
        <w:shd w:val="clear" w:color="auto" w:fill="d5e5f4" w:themeFill="accent5" w:themeFillTint="40"/>
        <w:tcBorders/>
      </w:tcPr>
    </w:tblStylePr>
    <w:tblStylePr w:type="band1Vert">
      <w:rPr>
        <w:rFonts w:ascii="Arial" w:hAnsi="Arial"/>
        <w:color w:val="404040"/>
        <w:sz w:val="22"/>
      </w:rPr>
      <w:pPr>
        <w:pBdr/>
        <w:spacing/>
        <w:ind/>
      </w:pPr>
      <w:tblPr>
        <w:tblBorders/>
      </w:tblPr>
      <w:tcPr>
        <w:shd w:val="clear" w:color="auto" w:fill="d5e5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72" w:customStyle="1">
    <w:name w:val="List Table 4 - Accent 61"/>
    <w:basedOn w:val="1690"/>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auto" w:fill="daebcf" w:themeFill="accent6" w:themeFillTint="40"/>
        <w:tcBorders/>
      </w:tcPr>
    </w:tblStylePr>
    <w:tblStylePr w:type="band1Vert">
      <w:rPr>
        <w:rFonts w:ascii="Arial" w:hAnsi="Arial"/>
        <w:color w:val="404040"/>
        <w:sz w:val="22"/>
      </w:rPr>
      <w:pPr>
        <w:pBdr/>
        <w:spacing/>
        <w:ind/>
      </w:pPr>
      <w:tblPr>
        <w:tblBorders/>
      </w:tblPr>
      <w:tcPr>
        <w:shd w:val="clear" w:color="auto"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73" w:customStyle="1">
    <w:name w:val="List Table 5 Dark - Accent 11"/>
    <w:basedOn w:val="1690"/>
    <w:uiPriority w:val="99"/>
    <w:pPr>
      <w:pBdr/>
      <w:spacing w:after="0" w:line="240" w:lineRule="auto"/>
      <w:ind/>
    </w:pPr>
    <w:tblPr>
      <w:tblStyleRowBandSize w:val="1"/>
      <w:tblStyleColBandSize w:val="1"/>
      <w:tblBorders>
        <w:top w:val="single" w:color="4472c4" w:themeColor="accent1" w:sz="32" w:space="0"/>
        <w:left w:val="single" w:color="4472c4" w:themeColor="accent1" w:sz="32" w:space="0"/>
        <w:bottom w:val="single" w:color="4472c4" w:themeColor="accent1" w:sz="32" w:space="0"/>
        <w:right w:val="single" w:color="4472c4" w:themeColor="accent1" w:sz="32" w:space="0"/>
      </w:tblBorders>
      <w:shd w:val="clear" w:color="auto" w:fill="4472c4" w:themeFill="accent1"/>
    </w:tblPr>
    <w:tcPr>
      <w:tcBorders/>
    </w:tcPr>
    <w:tblStylePr w:type="band1Horz">
      <w:pPr>
        <w:pBdr/>
        <w:spacing/>
        <w:ind/>
      </w:pPr>
      <w:tblPr>
        <w:tblBorders/>
      </w:tblPr>
      <w:tcPr>
        <w:shd w:val="clear" w:color="auto" w:fill="4472c4"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4472c4"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4472c4"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4472c4"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4472c4" w:themeFill="accent1"/>
        <w:tcBorders>
          <w:top w:val="single" w:color="4472c4"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4472c4"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74" w:customStyle="1">
    <w:name w:val="List Table 5 Dark - Accent 21"/>
    <w:basedOn w:val="1690"/>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auto" w:fill="f4b184" w:themeFill="accent2" w:themeFillTint="97"/>
    </w:tblPr>
    <w:tcPr>
      <w:tcBorders/>
    </w:tcPr>
    <w:tblStylePr w:type="band1Horz">
      <w:pPr>
        <w:pBdr/>
        <w:spacing/>
        <w:ind/>
      </w:pPr>
      <w:tblPr>
        <w:tblBorders/>
      </w:tblPr>
      <w:tcPr>
        <w:shd w:val="clear" w:color="auto"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75" w:customStyle="1">
    <w:name w:val="List Table 5 Dark - Accent 31"/>
    <w:basedOn w:val="1690"/>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auto" w:fill="c9c9c9" w:themeFill="accent3" w:themeFillTint="98"/>
    </w:tblPr>
    <w:tcPr>
      <w:tcBorders/>
    </w:tcPr>
    <w:tblStylePr w:type="band1Horz">
      <w:pPr>
        <w:pBdr/>
        <w:spacing/>
        <w:ind/>
      </w:pPr>
      <w:tblPr>
        <w:tblBorders/>
      </w:tblPr>
      <w:tcPr>
        <w:shd w:val="clear" w:color="auto"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76" w:customStyle="1">
    <w:name w:val="List Table 5 Dark - Accent 41"/>
    <w:basedOn w:val="1690"/>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auto" w:fill="ffd865" w:themeFill="accent4" w:themeFillTint="9A"/>
    </w:tblPr>
    <w:tcPr>
      <w:tcBorders/>
    </w:tcPr>
    <w:tblStylePr w:type="band1Horz">
      <w:pPr>
        <w:pBdr/>
        <w:spacing/>
        <w:ind/>
      </w:pPr>
      <w:tblPr>
        <w:tblBorders/>
      </w:tblPr>
      <w:tcPr>
        <w:shd w:val="clear" w:color="auto"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77" w:customStyle="1">
    <w:name w:val="List Table 5 Dark - Accent 51"/>
    <w:basedOn w:val="1690"/>
    <w:uiPriority w:val="99"/>
    <w:pPr>
      <w:pBdr/>
      <w:spacing w:after="0" w:line="240" w:lineRule="auto"/>
      <w:ind/>
    </w:pPr>
    <w:tblPr>
      <w:tblStyleRowBandSize w:val="1"/>
      <w:tblStyleColBandSize w:val="1"/>
      <w:tblBorders>
        <w:top w:val="single" w:color="9bc2e5" w:themeColor="accent5" w:themeTint="9A" w:sz="32" w:space="0"/>
        <w:left w:val="single" w:color="9bc2e5" w:themeColor="accent5" w:themeTint="9A" w:sz="32" w:space="0"/>
        <w:bottom w:val="single" w:color="9bc2e5" w:themeColor="accent5" w:themeTint="9A" w:sz="32" w:space="0"/>
        <w:right w:val="single" w:color="9bc2e5" w:themeColor="accent5" w:themeTint="9A" w:sz="32" w:space="0"/>
      </w:tblBorders>
      <w:shd w:val="clear" w:color="auto" w:fill="9bc2e5" w:themeFill="accent5" w:themeFillTint="9A"/>
    </w:tblPr>
    <w:tcPr>
      <w:tcBorders/>
    </w:tcPr>
    <w:tblStylePr w:type="band1Horz">
      <w:pPr>
        <w:pBdr/>
        <w:spacing/>
        <w:ind/>
      </w:pPr>
      <w:tblPr>
        <w:tblBorders/>
      </w:tblPr>
      <w:tcPr>
        <w:shd w:val="clear" w:color="auto" w:fill="9bc2e5"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9bc2e5"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9bc2e5"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9bc2e5"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9bc2e5" w:themeFill="accent5" w:themeFillTint="9A"/>
        <w:tcBorders>
          <w:top w:val="single" w:color="9bc2e5"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9bc2e5"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78" w:customStyle="1">
    <w:name w:val="List Table 5 Dark - Accent 61"/>
    <w:basedOn w:val="1690"/>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uto" w:fill="a9d08e" w:themeFill="accent6" w:themeFillTint="98"/>
    </w:tblPr>
    <w:tcPr>
      <w:tcBorders/>
    </w:tcPr>
    <w:tblStylePr w:type="band1Horz">
      <w:pPr>
        <w:pBdr/>
        <w:spacing/>
        <w:ind/>
      </w:pPr>
      <w:tblPr>
        <w:tblBorders/>
      </w:tblPr>
      <w:tcPr>
        <w:shd w:val="clear" w:color="auto"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79" w:customStyle="1">
    <w:name w:val="List Table 6 Colorful - Accent 11"/>
    <w:basedOn w:val="1690"/>
    <w:uiPriority w:val="99"/>
    <w:pPr>
      <w:pBdr/>
      <w:spacing w:after="0" w:line="240" w:lineRule="auto"/>
      <w:ind/>
    </w:pPr>
    <w:tblPr>
      <w:tblStyleRowBandSize w:val="1"/>
      <w:tblStyleColBandSize w:val="1"/>
      <w:tblBorders>
        <w:top w:val="single" w:color="4472c4" w:themeColor="accent1" w:sz="4" w:space="0"/>
        <w:bottom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auto" w:fill="cfdbf0" w:themeFill="accent1" w:themeFillTint="40"/>
        <w:tcBorders/>
      </w:tcPr>
    </w:tblStylePr>
    <w:tblStylePr w:type="band1Vert">
      <w:pPr>
        <w:pBdr/>
        <w:spacing/>
        <w:ind/>
      </w:pPr>
      <w:tblPr>
        <w:tblBorders/>
      </w:tblPr>
      <w:tcPr>
        <w:shd w:val="clear" w:color="auto"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1" w:themeShade="95"/>
      </w:rPr>
      <w:pPr>
        <w:pBdr/>
        <w:spacing/>
        <w:ind/>
      </w:pPr>
      <w:tblPr>
        <w:tblBorders/>
      </w:tblPr>
      <w:tcPr>
        <w:tcBorders/>
      </w:tcPr>
    </w:tblStylePr>
    <w:tblStylePr w:type="firstRow">
      <w:rPr>
        <w:b/>
        <w:color w:val="254175" w:themeColor="accent1" w:themeShade="95"/>
      </w:rPr>
      <w:pPr>
        <w:pBdr/>
        <w:spacing/>
        <w:ind/>
      </w:pPr>
      <w:tblPr>
        <w:tblBorders/>
      </w:tblPr>
      <w:tcPr>
        <w:tcBorders>
          <w:bottom w:val="single" w:color="4472c4" w:themeColor="accent1" w:sz="4" w:space="0"/>
        </w:tcBorders>
      </w:tcPr>
    </w:tblStylePr>
    <w:tblStylePr w:type="lastCol">
      <w:rPr>
        <w:b/>
        <w:color w:val="254175" w:themeColor="accent1" w:themeShade="95"/>
      </w:rPr>
      <w:pPr>
        <w:pBdr/>
        <w:spacing/>
        <w:ind/>
      </w:pPr>
      <w:tblPr>
        <w:tblBorders/>
      </w:tblPr>
      <w:tcPr>
        <w:tcBorders/>
      </w:tcPr>
    </w:tblStylePr>
    <w:tblStylePr w:type="lastRow">
      <w:rPr>
        <w:b/>
        <w:color w:val="254175" w:themeColor="accent1" w:themeShade="95"/>
      </w:rPr>
      <w:pPr>
        <w:pBdr/>
        <w:spacing/>
        <w:ind/>
      </w:pPr>
      <w:tblPr>
        <w:tblBorders/>
      </w:tblPr>
      <w:tcPr>
        <w:tcBorders>
          <w:top w:val="single" w:color="4472c4"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80" w:customStyle="1">
    <w:name w:val="List Table 6 Colorful - Accent 21"/>
    <w:basedOn w:val="1690"/>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auto" w:fill="fadecb" w:themeFill="accent2" w:themeFillTint="40"/>
        <w:tcBorders/>
      </w:tcPr>
    </w:tblStylePr>
    <w:tblStylePr w:type="band1Vert">
      <w:pPr>
        <w:pBdr/>
        <w:spacing/>
        <w:ind/>
      </w:pPr>
      <w:tblPr>
        <w:tblBorders/>
      </w:tblPr>
      <w:tcPr>
        <w:shd w:val="clear" w:color="auto"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81" w:customStyle="1">
    <w:name w:val="List Table 6 Colorful - Accent 31"/>
    <w:basedOn w:val="1690"/>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auto" w:fill="e8e8e8" w:themeFill="accent3" w:themeFillTint="40"/>
        <w:tcBorders/>
      </w:tcPr>
    </w:tblStylePr>
    <w:tblStylePr w:type="band1Vert">
      <w:pPr>
        <w:pBdr/>
        <w:spacing/>
        <w:ind/>
      </w:pPr>
      <w:tblPr>
        <w:tblBorders/>
      </w:tblPr>
      <w:tcPr>
        <w:shd w:val="clear" w:color="auto"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82" w:customStyle="1">
    <w:name w:val="List Table 6 Colorful - Accent 41"/>
    <w:basedOn w:val="1690"/>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auto" w:fill="ffefbf" w:themeFill="accent4" w:themeFillTint="40"/>
        <w:tcBorders/>
      </w:tcPr>
    </w:tblStylePr>
    <w:tblStylePr w:type="band1Vert">
      <w:pPr>
        <w:pBdr/>
        <w:spacing/>
        <w:ind/>
      </w:pPr>
      <w:tblPr>
        <w:tblBorders/>
      </w:tblPr>
      <w:tcPr>
        <w:shd w:val="clear" w:color="auto"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83" w:customStyle="1">
    <w:name w:val="List Table 6 Colorful - Accent 51"/>
    <w:basedOn w:val="1690"/>
    <w:uiPriority w:val="99"/>
    <w:pPr>
      <w:pBdr/>
      <w:spacing w:after="0" w:line="240" w:lineRule="auto"/>
      <w:ind/>
    </w:pPr>
    <w:tblPr>
      <w:tblStyleRowBandSize w:val="1"/>
      <w:tblStyleColBandSize w:val="1"/>
      <w:tblBorders>
        <w:top w:val="single" w:color="9bc2e5" w:themeColor="accent5" w:themeTint="9A" w:sz="4" w:space="0"/>
        <w:bottom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auto" w:fill="d5e5f4" w:themeFill="accent5" w:themeFillTint="40"/>
        <w:tcBorders/>
      </w:tcPr>
    </w:tblStylePr>
    <w:tblStylePr w:type="band1Vert">
      <w:pPr>
        <w:pBdr/>
        <w:spacing/>
        <w:ind/>
      </w:pPr>
      <w:tblPr>
        <w:tblBorders/>
      </w:tblPr>
      <w:tcPr>
        <w:shd w:val="clear" w:color="auto"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bc2e5" w:themeColor="accent5" w:themeTint="9A" w:themeShade="95"/>
      </w:rPr>
      <w:pPr>
        <w:pBdr/>
        <w:spacing/>
        <w:ind/>
      </w:pPr>
      <w:tblPr>
        <w:tblBorders/>
      </w:tblPr>
      <w:tcPr>
        <w:tcBorders/>
      </w:tcPr>
    </w:tblStylePr>
    <w:tblStylePr w:type="firstRow">
      <w:rPr>
        <w:b/>
        <w:color w:val="9bc2e5" w:themeColor="accent5" w:themeTint="9A" w:themeShade="95"/>
      </w:rPr>
      <w:pPr>
        <w:pBdr/>
        <w:spacing/>
        <w:ind/>
      </w:pPr>
      <w:tblPr>
        <w:tblBorders/>
      </w:tblPr>
      <w:tcPr>
        <w:tcBorders>
          <w:bottom w:val="single" w:color="9bc2e5" w:themeColor="accent5" w:themeTint="9A" w:sz="4" w:space="0"/>
        </w:tcBorders>
      </w:tcPr>
    </w:tblStylePr>
    <w:tblStylePr w:type="lastCol">
      <w:rPr>
        <w:b/>
        <w:color w:val="9bc2e5" w:themeColor="accent5" w:themeTint="9A" w:themeShade="95"/>
      </w:rPr>
      <w:pPr>
        <w:pBdr/>
        <w:spacing/>
        <w:ind/>
      </w:pPr>
      <w:tblPr>
        <w:tblBorders/>
      </w:tblPr>
      <w:tcPr>
        <w:tcBorders/>
      </w:tcPr>
    </w:tblStylePr>
    <w:tblStylePr w:type="lastRow">
      <w:rPr>
        <w:b/>
        <w:color w:val="9bc2e5" w:themeColor="accent5" w:themeTint="9A" w:themeShade="95"/>
      </w:rPr>
      <w:pPr>
        <w:pBdr/>
        <w:spacing/>
        <w:ind/>
      </w:pPr>
      <w:tblPr>
        <w:tblBorders/>
      </w:tblPr>
      <w:tcPr>
        <w:tcBorders>
          <w:top w:val="single" w:color="9bc2e5"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84" w:customStyle="1">
    <w:name w:val="List Table 6 Colorful - Accent 61"/>
    <w:basedOn w:val="1690"/>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auto" w:fill="daebcf" w:themeFill="accent6" w:themeFillTint="40"/>
        <w:tcBorders/>
      </w:tcPr>
    </w:tblStylePr>
    <w:tblStylePr w:type="band1Vert">
      <w:pPr>
        <w:pBdr/>
        <w:spacing/>
        <w:ind/>
      </w:pPr>
      <w:tblPr>
        <w:tblBorders/>
      </w:tblPr>
      <w:tcPr>
        <w:shd w:val="clear" w:color="auto"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85" w:customStyle="1">
    <w:name w:val="List Table 7 Colorful - Accent 11"/>
    <w:basedOn w:val="1690"/>
    <w:uiPriority w:val="99"/>
    <w:pPr>
      <w:pBdr/>
      <w:spacing w:after="0" w:line="240" w:lineRule="auto"/>
      <w:ind/>
    </w:pPr>
    <w:tblPr>
      <w:tblStyleRowBandSize w:val="1"/>
      <w:tblStyleColBandSize w:val="1"/>
      <w:tblBorders>
        <w:right w:val="single" w:color="4472c4" w:themeColor="accent1" w:sz="4" w:space="0"/>
      </w:tblBorders>
    </w:tblPr>
    <w:tcPr>
      <w:tcBorders/>
    </w:tcPr>
    <w:tblStylePr w:type="band1Horz">
      <w:rPr>
        <w:rFonts w:ascii="Arial" w:hAnsi="Arial"/>
        <w:color w:val="254175" w:themeColor="accent1" w:themeShade="95"/>
        <w:sz w:val="22"/>
      </w:rPr>
      <w:pPr>
        <w:pBdr/>
        <w:spacing/>
        <w:ind/>
      </w:pPr>
      <w:tblPr>
        <w:tblBorders/>
      </w:tblPr>
      <w:tcPr>
        <w:shd w:val="clear" w:color="auto" w:fill="cfdbf0" w:themeFill="accent1" w:themeFillTint="40"/>
        <w:tcBorders/>
      </w:tcPr>
    </w:tblStylePr>
    <w:tblStylePr w:type="band1Vert">
      <w:pPr>
        <w:pBdr/>
        <w:spacing/>
        <w:ind/>
      </w:pPr>
      <w:tblPr>
        <w:tblBorders/>
      </w:tblPr>
      <w:tcPr>
        <w:shd w:val="clear" w:color="auto" w:fill="cfdbf0" w:themeFill="accent1" w:themeFillTint="40"/>
        <w:tcBorders/>
      </w:tcPr>
    </w:tblStylePr>
    <w:tblStylePr w:type="band2Horz">
      <w:rPr>
        <w:rFonts w:ascii="Arial" w:hAnsi="Arial"/>
        <w:color w:val="2541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1"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4472c4" w:themeColor="accent1" w:sz="4" w:space="0"/>
        </w:tcBorders>
      </w:tcPr>
    </w:tblStylePr>
    <w:tblStylePr w:type="firstRow">
      <w:rPr>
        <w:rFonts w:ascii="Arial" w:hAnsi="Arial"/>
        <w:i/>
        <w:color w:val="254175" w:themeColor="accent1" w:themeShade="95"/>
        <w:sz w:val="22"/>
      </w:rPr>
      <w:pPr>
        <w:pBdr/>
        <w:spacing/>
        <w:ind/>
      </w:pPr>
      <w:tblPr>
        <w:tblBorders/>
      </w:tblPr>
      <w:tcPr>
        <w:shd w:val="clear" w:color="auto" w:fill="ffffff" w:themeFill="light1"/>
        <w:tcBorders>
          <w:top w:val="none" w:color="000000" w:sz="4" w:space="0"/>
          <w:left w:val="none" w:color="000000" w:sz="4" w:space="0"/>
          <w:bottom w:val="single" w:color="4472c4" w:themeColor="accent1" w:sz="4" w:space="0"/>
          <w:right w:val="none" w:color="000000" w:sz="4" w:space="0"/>
        </w:tcBorders>
      </w:tcPr>
    </w:tblStylePr>
    <w:tblStylePr w:type="lastCol">
      <w:rPr>
        <w:rFonts w:ascii="Arial" w:hAnsi="Arial"/>
        <w:i/>
        <w:color w:val="254175" w:themeColor="accent1" w:themeShade="95"/>
        <w:sz w:val="22"/>
      </w:rPr>
      <w:pPr>
        <w:pBdr/>
        <w:spacing/>
        <w:ind/>
      </w:pPr>
      <w:tblPr>
        <w:tblBorders/>
      </w:tblPr>
      <w:tcPr>
        <w:shd w:val="clear" w:color="auto" w:fill="ffffff"/>
        <w:tcBorders>
          <w:top w:val="none" w:color="000000" w:sz="4" w:space="0"/>
          <w:left w:val="single" w:color="4472c4" w:themeColor="accent1" w:sz="4" w:space="0"/>
          <w:bottom w:val="none" w:color="000000" w:sz="4" w:space="0"/>
          <w:right w:val="none" w:color="000000" w:sz="4" w:space="0"/>
        </w:tcBorders>
      </w:tcPr>
    </w:tblStylePr>
    <w:tblStylePr w:type="lastRow">
      <w:rPr>
        <w:rFonts w:ascii="Arial" w:hAnsi="Arial"/>
        <w:i/>
        <w:color w:val="254175" w:themeColor="accent1" w:themeShade="95"/>
        <w:sz w:val="22"/>
      </w:rPr>
      <w:pPr>
        <w:pBdr/>
        <w:spacing/>
        <w:ind/>
      </w:pPr>
      <w:tblPr>
        <w:tblBorders/>
      </w:tblPr>
      <w:tcPr>
        <w:shd w:val="clear" w:color="auto" w:fill="ffffff" w:themeFill="light1"/>
        <w:tcBorders>
          <w:top w:val="single" w:color="4472c4"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86" w:customStyle="1">
    <w:name w:val="List Table 7 Colorful - Accent 21"/>
    <w:basedOn w:val="1690"/>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auto" w:fill="fadecb" w:themeFill="accent2" w:themeFillTint="40"/>
        <w:tcBorders/>
      </w:tcPr>
    </w:tblStylePr>
    <w:tblStylePr w:type="band1Vert">
      <w:pPr>
        <w:pBdr/>
        <w:spacing/>
        <w:ind/>
      </w:pPr>
      <w:tblPr>
        <w:tblBorders/>
      </w:tblPr>
      <w:tcPr>
        <w:shd w:val="clear" w:color="auto"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auto"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auto" w:fill="ffffff"/>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auto"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87" w:customStyle="1">
    <w:name w:val="List Table 7 Colorful - Accent 31"/>
    <w:basedOn w:val="1690"/>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auto" w:fill="e8e8e8" w:themeFill="accent3" w:themeFillTint="40"/>
        <w:tcBorders/>
      </w:tcPr>
    </w:tblStylePr>
    <w:tblStylePr w:type="band1Vert">
      <w:pPr>
        <w:pBdr/>
        <w:spacing/>
        <w:ind/>
      </w:pPr>
      <w:tblPr>
        <w:tblBorders/>
      </w:tblPr>
      <w:tcPr>
        <w:shd w:val="clear" w:color="auto"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auto"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auto" w:fill="ffffff"/>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auto"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88" w:customStyle="1">
    <w:name w:val="List Table 7 Colorful - Accent 41"/>
    <w:basedOn w:val="1690"/>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auto" w:fill="ffefbf" w:themeFill="accent4" w:themeFillTint="40"/>
        <w:tcBorders/>
      </w:tcPr>
    </w:tblStylePr>
    <w:tblStylePr w:type="band1Vert">
      <w:pPr>
        <w:pBdr/>
        <w:spacing/>
        <w:ind/>
      </w:pPr>
      <w:tblPr>
        <w:tblBorders/>
      </w:tblPr>
      <w:tcPr>
        <w:shd w:val="clear" w:color="auto"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auto"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auto" w:fill="ffffff"/>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auto"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89" w:customStyle="1">
    <w:name w:val="List Table 7 Colorful - Accent 51"/>
    <w:basedOn w:val="1690"/>
    <w:uiPriority w:val="99"/>
    <w:pPr>
      <w:pBdr/>
      <w:spacing w:after="0" w:line="240" w:lineRule="auto"/>
      <w:ind/>
    </w:pPr>
    <w:tblPr>
      <w:tblStyleRowBandSize w:val="1"/>
      <w:tblStyleColBandSize w:val="1"/>
      <w:tblBorders>
        <w:right w:val="single" w:color="9bc2e5" w:themeColor="accent5" w:themeTint="9A" w:sz="4" w:space="0"/>
      </w:tblBorders>
    </w:tblPr>
    <w:tcPr>
      <w:tcBorders/>
    </w:tcPr>
    <w:tblStylePr w:type="band1Horz">
      <w:rPr>
        <w:rFonts w:ascii="Arial" w:hAnsi="Arial"/>
        <w:color w:val="9bc2e5" w:themeColor="accent5" w:themeTint="9A" w:themeShade="95"/>
        <w:sz w:val="22"/>
      </w:rPr>
      <w:pPr>
        <w:pBdr/>
        <w:spacing/>
        <w:ind/>
      </w:pPr>
      <w:tblPr>
        <w:tblBorders/>
      </w:tblPr>
      <w:tcPr>
        <w:shd w:val="clear" w:color="auto" w:fill="d5e5f4" w:themeFill="accent5" w:themeFillTint="40"/>
        <w:tcBorders/>
      </w:tcPr>
    </w:tblStylePr>
    <w:tblStylePr w:type="band1Vert">
      <w:pPr>
        <w:pBdr/>
        <w:spacing/>
        <w:ind/>
      </w:pPr>
      <w:tblPr>
        <w:tblBorders/>
      </w:tblPr>
      <w:tcPr>
        <w:shd w:val="clear" w:color="auto" w:fill="d5e5f4" w:themeFill="accent5" w:themeFillTint="40"/>
        <w:tcBorders/>
      </w:tcPr>
    </w:tblStylePr>
    <w:tblStylePr w:type="band2Horz">
      <w:rPr>
        <w:rFonts w:ascii="Arial" w:hAnsi="Arial"/>
        <w:color w:val="9bc2e5"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bc2e5" w:themeColor="accent5" w:themeTint="9A"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9bc2e5" w:themeColor="accent5" w:themeTint="9A" w:sz="4" w:space="0"/>
        </w:tcBorders>
      </w:tcPr>
    </w:tblStylePr>
    <w:tblStylePr w:type="firstRow">
      <w:rPr>
        <w:rFonts w:ascii="Arial" w:hAnsi="Arial"/>
        <w:i/>
        <w:color w:val="9bc2e5" w:themeColor="accent5" w:themeTint="9A" w:themeShade="95"/>
        <w:sz w:val="22"/>
      </w:rPr>
      <w:pPr>
        <w:pBdr/>
        <w:spacing/>
        <w:ind/>
      </w:pPr>
      <w:tblPr>
        <w:tblBorders/>
      </w:tblPr>
      <w:tcPr>
        <w:shd w:val="clear" w:color="auto" w:fill="ffffff" w:themeFill="light1"/>
        <w:tcBorders>
          <w:top w:val="none" w:color="000000" w:sz="4" w:space="0"/>
          <w:left w:val="none" w:color="000000" w:sz="4" w:space="0"/>
          <w:bottom w:val="single" w:color="9bc2e5" w:themeColor="accent5" w:themeTint="9A" w:sz="4" w:space="0"/>
          <w:right w:val="none" w:color="000000" w:sz="4" w:space="0"/>
        </w:tcBorders>
      </w:tcPr>
    </w:tblStylePr>
    <w:tblStylePr w:type="lastCol">
      <w:rPr>
        <w:rFonts w:ascii="Arial" w:hAnsi="Arial"/>
        <w:i/>
        <w:color w:val="9bc2e5" w:themeColor="accent5" w:themeTint="9A" w:themeShade="95"/>
        <w:sz w:val="22"/>
      </w:rPr>
      <w:pPr>
        <w:pBdr/>
        <w:spacing/>
        <w:ind/>
      </w:pPr>
      <w:tblPr>
        <w:tblBorders/>
      </w:tblPr>
      <w:tcPr>
        <w:shd w:val="clear" w:color="auto" w:fill="ffffff"/>
        <w:tcBorders>
          <w:top w:val="none" w:color="000000" w:sz="4" w:space="0"/>
          <w:left w:val="single" w:color="9bc2e5" w:themeColor="accent5" w:themeTint="9A" w:sz="4" w:space="0"/>
          <w:bottom w:val="none" w:color="000000" w:sz="4" w:space="0"/>
          <w:right w:val="none" w:color="000000" w:sz="4" w:space="0"/>
        </w:tcBorders>
      </w:tcPr>
    </w:tblStylePr>
    <w:tblStylePr w:type="lastRow">
      <w:rPr>
        <w:rFonts w:ascii="Arial" w:hAnsi="Arial"/>
        <w:i/>
        <w:color w:val="9bc2e5" w:themeColor="accent5" w:themeTint="9A" w:themeShade="95"/>
        <w:sz w:val="22"/>
      </w:rPr>
      <w:pPr>
        <w:pBdr/>
        <w:spacing/>
        <w:ind/>
      </w:pPr>
      <w:tblPr>
        <w:tblBorders/>
      </w:tblPr>
      <w:tcPr>
        <w:shd w:val="clear" w:color="auto" w:fill="ffffff" w:themeFill="light1"/>
        <w:tcBorders>
          <w:top w:val="single" w:color="9bc2e5"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990" w:customStyle="1">
    <w:name w:val="List Table 7 Colorful - Accent 61"/>
    <w:basedOn w:val="1690"/>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auto" w:fill="daebcf" w:themeFill="accent6" w:themeFillTint="40"/>
        <w:tcBorders/>
      </w:tcPr>
    </w:tblStylePr>
    <w:tblStylePr w:type="band1Vert">
      <w:pPr>
        <w:pBdr/>
        <w:spacing/>
        <w:ind/>
      </w:pPr>
      <w:tblPr>
        <w:tblBorders/>
      </w:tblPr>
      <w:tcPr>
        <w:shd w:val="clear" w:color="auto"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auto"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auto" w:fill="ffffff"/>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auto"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991" w:customStyle="1">
    <w:name w:val="Heading 2 Char"/>
    <w:basedOn w:val="1689"/>
    <w:link w:val="1681"/>
    <w:uiPriority w:val="9"/>
    <w:pPr>
      <w:pBdr/>
      <w:spacing/>
      <w:ind/>
    </w:pPr>
    <w:rPr>
      <w:rFonts w:ascii="Arial" w:hAnsi="Arial" w:eastAsia="Arial" w:cs="Arial"/>
      <w:sz w:val="34"/>
    </w:rPr>
  </w:style>
  <w:style w:type="character" w:styleId="1992" w:customStyle="1">
    <w:name w:val="Heading 3 Char"/>
    <w:basedOn w:val="1689"/>
    <w:link w:val="1682"/>
    <w:uiPriority w:val="9"/>
    <w:pPr>
      <w:pBdr/>
      <w:spacing/>
      <w:ind/>
    </w:pPr>
    <w:rPr>
      <w:rFonts w:ascii="Arial" w:hAnsi="Arial" w:eastAsia="Arial" w:cs="Arial"/>
      <w:sz w:val="30"/>
      <w:szCs w:val="30"/>
    </w:rPr>
  </w:style>
  <w:style w:type="character" w:styleId="1993" w:customStyle="1">
    <w:name w:val="Heading 4 Char"/>
    <w:basedOn w:val="1689"/>
    <w:link w:val="1683"/>
    <w:uiPriority w:val="9"/>
    <w:pPr>
      <w:pBdr/>
      <w:spacing/>
      <w:ind/>
    </w:pPr>
    <w:rPr>
      <w:rFonts w:ascii="Arial" w:hAnsi="Arial" w:eastAsia="Arial" w:cs="Arial"/>
      <w:b/>
      <w:bCs/>
      <w:sz w:val="26"/>
      <w:szCs w:val="26"/>
    </w:rPr>
  </w:style>
  <w:style w:type="character" w:styleId="1994" w:customStyle="1">
    <w:name w:val="Heading 5 Char"/>
    <w:basedOn w:val="1689"/>
    <w:link w:val="1684"/>
    <w:uiPriority w:val="9"/>
    <w:pPr>
      <w:pBdr/>
      <w:spacing/>
      <w:ind/>
    </w:pPr>
    <w:rPr>
      <w:rFonts w:ascii="Arial" w:hAnsi="Arial" w:eastAsia="Arial" w:cs="Arial"/>
      <w:b/>
      <w:bCs/>
      <w:sz w:val="24"/>
      <w:szCs w:val="24"/>
    </w:rPr>
  </w:style>
  <w:style w:type="character" w:styleId="1995" w:customStyle="1">
    <w:name w:val="Heading 6 Char"/>
    <w:basedOn w:val="1689"/>
    <w:link w:val="1685"/>
    <w:uiPriority w:val="9"/>
    <w:pPr>
      <w:pBdr/>
      <w:spacing/>
      <w:ind/>
    </w:pPr>
    <w:rPr>
      <w:rFonts w:ascii="Arial" w:hAnsi="Arial" w:eastAsia="Arial" w:cs="Arial"/>
      <w:b/>
      <w:bCs/>
      <w:sz w:val="22"/>
      <w:szCs w:val="22"/>
    </w:rPr>
  </w:style>
  <w:style w:type="character" w:styleId="1996" w:customStyle="1">
    <w:name w:val="Heading 7 Char"/>
    <w:basedOn w:val="1689"/>
    <w:link w:val="1686"/>
    <w:uiPriority w:val="9"/>
    <w:pPr>
      <w:pBdr/>
      <w:spacing/>
      <w:ind/>
    </w:pPr>
    <w:rPr>
      <w:rFonts w:ascii="Arial" w:hAnsi="Arial" w:eastAsia="Arial" w:cs="Arial"/>
      <w:b/>
      <w:bCs/>
      <w:i/>
      <w:iCs/>
      <w:sz w:val="22"/>
      <w:szCs w:val="22"/>
    </w:rPr>
  </w:style>
  <w:style w:type="character" w:styleId="1997" w:customStyle="1">
    <w:name w:val="Heading 8 Char"/>
    <w:basedOn w:val="1689"/>
    <w:link w:val="1687"/>
    <w:uiPriority w:val="9"/>
    <w:pPr>
      <w:pBdr/>
      <w:spacing/>
      <w:ind/>
    </w:pPr>
    <w:rPr>
      <w:rFonts w:ascii="Arial" w:hAnsi="Arial" w:eastAsia="Arial" w:cs="Arial"/>
      <w:i/>
      <w:iCs/>
      <w:sz w:val="22"/>
      <w:szCs w:val="22"/>
    </w:rPr>
  </w:style>
  <w:style w:type="character" w:styleId="1998" w:customStyle="1">
    <w:name w:val="Heading 9 Char"/>
    <w:basedOn w:val="1689"/>
    <w:link w:val="1688"/>
    <w:uiPriority w:val="9"/>
    <w:pPr>
      <w:pBdr/>
      <w:spacing/>
      <w:ind/>
    </w:pPr>
    <w:rPr>
      <w:rFonts w:ascii="Arial" w:hAnsi="Arial" w:eastAsia="Arial" w:cs="Arial"/>
      <w:i/>
      <w:iCs/>
      <w:sz w:val="21"/>
      <w:szCs w:val="21"/>
    </w:rPr>
  </w:style>
  <w:style w:type="paragraph" w:styleId="1999">
    <w:name w:val="List Paragraph"/>
    <w:basedOn w:val="1679"/>
    <w:uiPriority w:val="34"/>
    <w:qFormat/>
    <w:pPr>
      <w:pBdr/>
      <w:spacing/>
      <w:ind w:left="720"/>
      <w:contextualSpacing w:val="true"/>
    </w:pPr>
  </w:style>
  <w:style w:type="paragraph" w:styleId="2000">
    <w:name w:val="No Spacing"/>
    <w:uiPriority w:val="1"/>
    <w:qFormat/>
    <w:pPr>
      <w:pBdr/>
      <w:spacing w:after="0" w:line="240" w:lineRule="auto"/>
      <w:ind/>
    </w:pPr>
  </w:style>
  <w:style w:type="paragraph" w:styleId="2001">
    <w:name w:val="Title"/>
    <w:basedOn w:val="1679"/>
    <w:next w:val="1679"/>
    <w:link w:val="2002"/>
    <w:uiPriority w:val="10"/>
    <w:qFormat/>
    <w:pPr>
      <w:pBdr/>
      <w:spacing w:after="200" w:before="300"/>
      <w:ind/>
      <w:contextualSpacing w:val="true"/>
    </w:pPr>
    <w:rPr>
      <w:sz w:val="48"/>
      <w:szCs w:val="48"/>
    </w:rPr>
  </w:style>
  <w:style w:type="character" w:styleId="2002" w:customStyle="1">
    <w:name w:val="Title Char"/>
    <w:basedOn w:val="1689"/>
    <w:link w:val="2001"/>
    <w:uiPriority w:val="10"/>
    <w:pPr>
      <w:pBdr/>
      <w:spacing/>
      <w:ind/>
    </w:pPr>
    <w:rPr>
      <w:sz w:val="48"/>
      <w:szCs w:val="48"/>
    </w:rPr>
  </w:style>
  <w:style w:type="paragraph" w:styleId="2003">
    <w:name w:val="Subtitle"/>
    <w:basedOn w:val="1679"/>
    <w:next w:val="1679"/>
    <w:link w:val="2004"/>
    <w:uiPriority w:val="11"/>
    <w:qFormat/>
    <w:pPr>
      <w:pBdr/>
      <w:spacing w:after="200" w:before="200"/>
      <w:ind/>
    </w:pPr>
    <w:rPr>
      <w:sz w:val="24"/>
      <w:szCs w:val="24"/>
    </w:rPr>
  </w:style>
  <w:style w:type="character" w:styleId="2004" w:customStyle="1">
    <w:name w:val="Subtitle Char"/>
    <w:basedOn w:val="1689"/>
    <w:link w:val="2003"/>
    <w:uiPriority w:val="11"/>
    <w:pPr>
      <w:pBdr/>
      <w:spacing/>
      <w:ind/>
    </w:pPr>
    <w:rPr>
      <w:sz w:val="24"/>
      <w:szCs w:val="24"/>
    </w:rPr>
  </w:style>
  <w:style w:type="paragraph" w:styleId="2005">
    <w:name w:val="Quote"/>
    <w:basedOn w:val="1679"/>
    <w:next w:val="1679"/>
    <w:link w:val="2006"/>
    <w:uiPriority w:val="29"/>
    <w:qFormat/>
    <w:pPr>
      <w:pBdr/>
      <w:spacing/>
      <w:ind w:right="720" w:left="720"/>
    </w:pPr>
    <w:rPr>
      <w:i/>
    </w:rPr>
  </w:style>
  <w:style w:type="character" w:styleId="2006" w:customStyle="1">
    <w:name w:val="Quote Char"/>
    <w:link w:val="2005"/>
    <w:uiPriority w:val="29"/>
    <w:pPr>
      <w:pBdr/>
      <w:spacing/>
      <w:ind/>
    </w:pPr>
    <w:rPr>
      <w:i/>
    </w:rPr>
  </w:style>
  <w:style w:type="paragraph" w:styleId="2007">
    <w:name w:val="Intense Quote"/>
    <w:basedOn w:val="1679"/>
    <w:next w:val="1679"/>
    <w:link w:val="2008"/>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pPr>
    <w:rPr>
      <w:i/>
    </w:rPr>
  </w:style>
  <w:style w:type="character" w:styleId="2008" w:customStyle="1">
    <w:name w:val="Intense Quote Char"/>
    <w:link w:val="2007"/>
    <w:uiPriority w:val="30"/>
    <w:pPr>
      <w:pBdr/>
      <w:spacing/>
      <w:ind/>
    </w:pPr>
    <w:rPr>
      <w:i/>
    </w:rPr>
  </w:style>
  <w:style w:type="table" w:styleId="2009" w:customStyle="1">
    <w:name w:val="Plain Table 11"/>
    <w:basedOn w:val="1690"/>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auto" w:fill="f2f2f2" w:themeFill="text1" w:themeFillTint="0D"/>
        <w:tcBorders/>
      </w:tcPr>
    </w:tblStylePr>
    <w:tblStylePr w:type="band1Vert">
      <w:pPr>
        <w:pBdr/>
        <w:spacing/>
        <w:ind/>
      </w:pPr>
      <w:tblPr>
        <w:tblBorders/>
      </w:tblPr>
      <w:tcPr>
        <w:shd w:val="clear" w:color="auto"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10" w:customStyle="1">
    <w:name w:val="Plain Table 21"/>
    <w:basedOn w:val="1690"/>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11" w:customStyle="1">
    <w:name w:val="Plain Table 31"/>
    <w:basedOn w:val="1690"/>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auto" w:fill="f2f2f2" w:themeFill="text1" w:themeFillTint="0D"/>
        <w:tcBorders/>
      </w:tcPr>
    </w:tblStylePr>
    <w:tblStylePr w:type="band1Vert">
      <w:rPr>
        <w:rFonts w:ascii="Arial" w:hAnsi="Arial"/>
        <w:color w:val="404040"/>
        <w:sz w:val="22"/>
      </w:rPr>
      <w:pPr>
        <w:pBdr/>
        <w:spacing/>
        <w:ind/>
      </w:pPr>
      <w:tblPr>
        <w:tblBorders/>
      </w:tblPr>
      <w:tcPr>
        <w:shd w:val="clear" w:color="auto"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12" w:customStyle="1">
    <w:name w:val="Plain Table 41"/>
    <w:basedOn w:val="1690"/>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auto" w:fill="f2f2f2" w:themeFill="text1" w:themeFillTint="0D"/>
        <w:tcBorders/>
      </w:tcPr>
    </w:tblStylePr>
    <w:tblStylePr w:type="band1Vert">
      <w:rPr>
        <w:rFonts w:ascii="Arial" w:hAnsi="Arial"/>
        <w:color w:val="404040"/>
        <w:sz w:val="22"/>
      </w:rPr>
      <w:pPr>
        <w:pBdr/>
        <w:spacing/>
        <w:ind/>
      </w:pPr>
      <w:tblPr>
        <w:tblBorders/>
      </w:tblPr>
      <w:tcPr>
        <w:shd w:val="clear" w:color="auto"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13" w:customStyle="1">
    <w:name w:val="Plain Table 51"/>
    <w:basedOn w:val="1690"/>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auto" w:fill="f2f2f2" w:themeFill="text1" w:themeFillTint="0D"/>
        <w:tcBorders/>
      </w:tcPr>
    </w:tblStylePr>
    <w:tblStylePr w:type="band1Vert">
      <w:rPr>
        <w:rFonts w:ascii="Arial" w:hAnsi="Arial"/>
        <w:color w:val="404040"/>
        <w:sz w:val="22"/>
      </w:rPr>
      <w:pPr>
        <w:pBdr/>
        <w:spacing/>
        <w:ind/>
      </w:pPr>
      <w:tblPr>
        <w:tblBorders/>
      </w:tblPr>
      <w:tcPr>
        <w:shd w:val="clear" w:color="auto"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right w:val="single" w:color="404040" w:sz="4" w:space="0"/>
        </w:tcBorders>
      </w:tcPr>
    </w:tblStylePr>
    <w:tblStylePr w:type="firstRow">
      <w:rPr>
        <w:i/>
        <w:color w:val="404040"/>
      </w:rPr>
      <w:pPr>
        <w:pBdr/>
        <w:spacing/>
        <w:ind/>
      </w:pPr>
      <w:tblPr>
        <w:tblBorders/>
      </w:tblPr>
      <w:tcPr>
        <w:shd w:val="clear" w:color="auto" w:fill="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auto" w:fill="ffffff"/>
        <w:tcBorders>
          <w:left w:val="single" w:color="404040" w:sz="4" w:space="0"/>
        </w:tcBorders>
      </w:tcPr>
    </w:tblStylePr>
    <w:tblStylePr w:type="lastRow">
      <w:rPr>
        <w:i/>
        <w:color w:val="404040"/>
      </w:rPr>
      <w:pPr>
        <w:pBdr/>
        <w:spacing/>
        <w:ind/>
      </w:pPr>
      <w:tblPr>
        <w:tblBorders/>
      </w:tblPr>
      <w:tcPr>
        <w:shd w:val="clear" w:color="auto" w:fill="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14" w:customStyle="1">
    <w:name w:val="Grid Table 1 Light1"/>
    <w:basedOn w:val="1690"/>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15" w:customStyle="1">
    <w:name w:val="Grid Table 21"/>
    <w:basedOn w:val="1690"/>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auto" w:fill="cbcbcb" w:themeFill="text1" w:themeFillTint="34"/>
        <w:tcBorders/>
      </w:tcPr>
    </w:tblStylePr>
    <w:tblStylePr w:type="band1Vert">
      <w:rPr>
        <w:rFonts w:ascii="Arial" w:hAnsi="Arial"/>
        <w:color w:val="404040"/>
        <w:sz w:val="22"/>
      </w:rPr>
      <w:pPr>
        <w:pBdr/>
        <w:spacing/>
        <w:ind/>
      </w:pPr>
      <w:tblPr>
        <w:tblBorders/>
      </w:tblPr>
      <w:tcPr>
        <w:shd w:val="clear" w:color="auto"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16" w:customStyle="1">
    <w:name w:val="Grid Table 31"/>
    <w:basedOn w:val="1690"/>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auto" w:fill="cbcbcb" w:themeFill="text1" w:themeFillTint="34"/>
        <w:tcBorders/>
      </w:tcPr>
    </w:tblStylePr>
    <w:tblStylePr w:type="band1Vert">
      <w:rPr>
        <w:rFonts w:ascii="Arial" w:hAnsi="Arial"/>
        <w:color w:val="404040"/>
        <w:sz w:val="22"/>
      </w:rPr>
      <w:pPr>
        <w:pBdr/>
        <w:spacing/>
        <w:ind/>
      </w:pPr>
      <w:tblPr>
        <w:tblBorders/>
      </w:tblPr>
      <w:tcPr>
        <w:shd w:val="clear" w:color="auto"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17" w:customStyle="1">
    <w:name w:val="Grid Table 41"/>
    <w:basedOn w:val="1690"/>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auto" w:fill="cbcbcb" w:themeFill="text1" w:themeFillTint="34"/>
        <w:tcBorders/>
      </w:tcPr>
    </w:tblStylePr>
    <w:tblStylePr w:type="band1Vert">
      <w:rPr>
        <w:rFonts w:ascii="Arial" w:hAnsi="Arial"/>
        <w:color w:val="404040"/>
        <w:sz w:val="22"/>
      </w:rPr>
      <w:pPr>
        <w:pBdr/>
        <w:spacing/>
        <w:ind/>
      </w:pPr>
      <w:tblPr>
        <w:tblBorders/>
      </w:tblPr>
      <w:tcPr>
        <w:shd w:val="clear" w:color="auto"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18" w:customStyle="1">
    <w:name w:val="Grid Table 5 Dark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bfbfbf" w:themeFill="text1" w:themeFillTint="40"/>
    </w:tblPr>
    <w:tcPr>
      <w:tcBorders/>
    </w:tcPr>
    <w:tblStylePr w:type="band1Horz">
      <w:pPr>
        <w:pBdr/>
        <w:spacing/>
        <w:ind/>
      </w:pPr>
      <w:tblPr>
        <w:tblBorders/>
      </w:tblPr>
      <w:tcPr>
        <w:shd w:val="clear" w:color="auto" w:fill="8a8a8a" w:themeFill="text1" w:themeFillTint="75"/>
        <w:tcBorders/>
      </w:tcPr>
    </w:tblStylePr>
    <w:tblStylePr w:type="band1Vert">
      <w:pPr>
        <w:pBdr/>
        <w:spacing/>
        <w:ind/>
      </w:pPr>
      <w:tblPr>
        <w:tblBorders/>
      </w:tblPr>
      <w:tcPr>
        <w:shd w:val="clear" w:color="auto"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000000" w:themeFill="text1"/>
        <w:tcBorders/>
      </w:tcPr>
    </w:tblStylePr>
    <w:tblStylePr w:type="firstRow">
      <w:rPr>
        <w:rFonts w:ascii="Arial" w:hAnsi="Arial"/>
        <w:b/>
        <w:color w:val="ffffff"/>
        <w:sz w:val="22"/>
      </w:rPr>
      <w:pPr>
        <w:pBdr/>
        <w:spacing/>
        <w:ind/>
      </w:pPr>
      <w:tblPr>
        <w:tblBorders/>
      </w:tblPr>
      <w:tcPr>
        <w:shd w:val="clear" w:color="auto" w:fill="000000" w:themeFill="text1"/>
        <w:tcBorders/>
      </w:tcPr>
    </w:tblStylePr>
    <w:tblStylePr w:type="lastCol">
      <w:rPr>
        <w:rFonts w:ascii="Arial" w:hAnsi="Arial"/>
        <w:b/>
        <w:color w:val="ffffff"/>
        <w:sz w:val="22"/>
      </w:rPr>
      <w:pPr>
        <w:pBdr/>
        <w:spacing/>
        <w:ind/>
      </w:pPr>
      <w:tblPr>
        <w:tblBorders/>
      </w:tblPr>
      <w:tcPr>
        <w:shd w:val="clear" w:color="auto" w:fill="000000" w:themeFill="text1"/>
        <w:tcBorders/>
      </w:tcPr>
    </w:tblStylePr>
    <w:tblStylePr w:type="lastRow">
      <w:rPr>
        <w:rFonts w:ascii="Arial" w:hAnsi="Arial"/>
        <w:b/>
        <w:color w:val="ffffff"/>
        <w:sz w:val="22"/>
      </w:rPr>
      <w:pPr>
        <w:pBdr/>
        <w:spacing/>
        <w:ind/>
      </w:pPr>
      <w:tblPr>
        <w:tblBorders/>
      </w:tblPr>
      <w:tcPr>
        <w:shd w:val="clear" w:color="auto"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19" w:customStyle="1">
    <w:name w:val="Grid Table 5 Dark- Accent 1"/>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d8e2f3" w:themeFill="accent1" w:themeFillTint="34"/>
    </w:tblPr>
    <w:tcPr>
      <w:tcBorders/>
    </w:tcPr>
    <w:tblStylePr w:type="band1Horz">
      <w:pPr>
        <w:pBdr/>
        <w:spacing/>
        <w:ind/>
      </w:pPr>
      <w:tblPr>
        <w:tblBorders/>
      </w:tblPr>
      <w:tcPr>
        <w:shd w:val="clear" w:color="auto" w:fill="a9bee4" w:themeFill="accent1" w:themeFillTint="75"/>
        <w:tcBorders/>
      </w:tcPr>
    </w:tblStylePr>
    <w:tblStylePr w:type="band1Vert">
      <w:pPr>
        <w:pBdr/>
        <w:spacing/>
        <w:ind/>
      </w:pPr>
      <w:tblPr>
        <w:tblBorders/>
      </w:tblPr>
      <w:tcPr>
        <w:shd w:val="clear" w:color="auto"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4472c4" w:themeFill="accent1"/>
        <w:tcBorders/>
      </w:tcPr>
    </w:tblStylePr>
    <w:tblStylePr w:type="firstRow">
      <w:rPr>
        <w:rFonts w:ascii="Arial" w:hAnsi="Arial"/>
        <w:b/>
        <w:color w:val="ffffff"/>
        <w:sz w:val="22"/>
      </w:rPr>
      <w:pPr>
        <w:pBdr/>
        <w:spacing/>
        <w:ind/>
      </w:pPr>
      <w:tblPr>
        <w:tblBorders/>
      </w:tblPr>
      <w:tcPr>
        <w:shd w:val="clear" w:color="auto" w:fill="4472c4" w:themeFill="accent1"/>
        <w:tcBorders/>
      </w:tcPr>
    </w:tblStylePr>
    <w:tblStylePr w:type="lastCol">
      <w:rPr>
        <w:rFonts w:ascii="Arial" w:hAnsi="Arial"/>
        <w:b/>
        <w:color w:val="ffffff"/>
        <w:sz w:val="22"/>
      </w:rPr>
      <w:pPr>
        <w:pBdr/>
        <w:spacing/>
        <w:ind/>
      </w:pPr>
      <w:tblPr>
        <w:tblBorders/>
      </w:tblPr>
      <w:tcPr>
        <w:shd w:val="clear" w:color="auto" w:fill="4472c4" w:themeFill="accent1"/>
        <w:tcBorders/>
      </w:tcPr>
    </w:tblStylePr>
    <w:tblStylePr w:type="lastRow">
      <w:rPr>
        <w:rFonts w:ascii="Arial" w:hAnsi="Arial"/>
        <w:b/>
        <w:color w:val="ffffff"/>
        <w:sz w:val="22"/>
      </w:rPr>
      <w:pPr>
        <w:pBdr/>
        <w:spacing/>
        <w:ind/>
      </w:pPr>
      <w:tblPr>
        <w:tblBorders/>
      </w:tblPr>
      <w:tcPr>
        <w:shd w:val="clear" w:color="auto" w:fill="4472c4"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20" w:customStyle="1">
    <w:name w:val="Grid Table 5 Dark- Accent 4"/>
    <w:basedOn w:val="1690"/>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fff2cb" w:themeFill="accent4" w:themeFillTint="34"/>
    </w:tblPr>
    <w:tcPr>
      <w:tcBorders/>
    </w:tcPr>
    <w:tblStylePr w:type="band1Horz">
      <w:pPr>
        <w:pBdr/>
        <w:spacing/>
        <w:ind/>
      </w:pPr>
      <w:tblPr>
        <w:tblBorders/>
      </w:tblPr>
      <w:tcPr>
        <w:shd w:val="clear" w:color="auto" w:fill="ffe28a" w:themeFill="accent4" w:themeFillTint="75"/>
        <w:tcBorders/>
      </w:tcPr>
    </w:tblStylePr>
    <w:tblStylePr w:type="band1Vert">
      <w:pPr>
        <w:pBdr/>
        <w:spacing/>
        <w:ind/>
      </w:pPr>
      <w:tblPr>
        <w:tblBorders/>
      </w:tblPr>
      <w:tcPr>
        <w:shd w:val="clear" w:color="auto"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ffc000" w:themeFill="accent4"/>
        <w:tcBorders/>
      </w:tcPr>
    </w:tblStylePr>
    <w:tblStylePr w:type="firstRow">
      <w:rPr>
        <w:rFonts w:ascii="Arial" w:hAnsi="Arial"/>
        <w:b/>
        <w:color w:val="ffffff"/>
        <w:sz w:val="22"/>
      </w:rPr>
      <w:pPr>
        <w:pBdr/>
        <w:spacing/>
        <w:ind/>
      </w:pPr>
      <w:tblPr>
        <w:tblBorders/>
      </w:tblPr>
      <w:tcPr>
        <w:shd w:val="clear" w:color="auto" w:fill="ffc000" w:themeFill="accent4"/>
        <w:tcBorders/>
      </w:tcPr>
    </w:tblStylePr>
    <w:tblStylePr w:type="lastCol">
      <w:rPr>
        <w:rFonts w:ascii="Arial" w:hAnsi="Arial"/>
        <w:b/>
        <w:color w:val="ffffff"/>
        <w:sz w:val="22"/>
      </w:rPr>
      <w:pPr>
        <w:pBdr/>
        <w:spacing/>
        <w:ind/>
      </w:pPr>
      <w:tblPr>
        <w:tblBorders/>
      </w:tblPr>
      <w:tcPr>
        <w:shd w:val="clear" w:color="auto" w:fill="ffc000" w:themeFill="accent4"/>
        <w:tcBorders/>
      </w:tcPr>
    </w:tblStylePr>
    <w:tblStylePr w:type="lastRow">
      <w:rPr>
        <w:rFonts w:ascii="Arial" w:hAnsi="Arial"/>
        <w:b/>
        <w:color w:val="ffffff"/>
        <w:sz w:val="22"/>
      </w:rPr>
      <w:pPr>
        <w:pBdr/>
        <w:spacing/>
        <w:ind/>
      </w:pPr>
      <w:tblPr>
        <w:tblBorders/>
      </w:tblPr>
      <w:tcPr>
        <w:shd w:val="clear" w:color="auto"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21" w:customStyle="1">
    <w:name w:val="Grid Table 6 Colorful1"/>
    <w:basedOn w:val="1690"/>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auto" w:fill="cbcbcb" w:themeFill="text1" w:themeFillTint="34"/>
        <w:tcBorders/>
      </w:tcPr>
    </w:tblStylePr>
    <w:tblStylePr w:type="band1Vert">
      <w:pPr>
        <w:pBdr/>
        <w:spacing/>
        <w:ind/>
      </w:pPr>
      <w:tblPr>
        <w:tblBorders/>
      </w:tblPr>
      <w:tcPr>
        <w:shd w:val="clear" w:color="auto"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22" w:customStyle="1">
    <w:name w:val="Grid Table 7 Colorful1"/>
    <w:basedOn w:val="1690"/>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auto" w:fill="f2f2f2" w:themeFill="text1" w:themeFillTint="0D"/>
        <w:tcBorders/>
      </w:tcPr>
    </w:tblStylePr>
    <w:tblStylePr w:type="band1Vert">
      <w:pPr>
        <w:pBdr/>
        <w:spacing/>
        <w:ind/>
      </w:pPr>
      <w:tblPr>
        <w:tblBorders/>
      </w:tblPr>
      <w:tcPr>
        <w:shd w:val="clear" w:color="auto"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auto"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auto" w:fill="ffffff"/>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auto"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23" w:customStyle="1">
    <w:name w:val="List Table 1 Light1"/>
    <w:basedOn w:val="1690"/>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auto" w:fill="bfbfbf" w:themeFill="text1" w:themeFillTint="40"/>
        <w:tcBorders/>
      </w:tcPr>
    </w:tblStylePr>
    <w:tblStylePr w:type="band1Vert">
      <w:pPr>
        <w:pBdr/>
        <w:spacing/>
        <w:ind/>
      </w:pPr>
      <w:tblPr>
        <w:tblBorders/>
      </w:tblPr>
      <w:tcPr>
        <w:shd w:val="clear" w:color="auto"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24" w:customStyle="1">
    <w:name w:val="List Table 21"/>
    <w:basedOn w:val="1690"/>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auto" w:fill="bfbfbf" w:themeFill="text1" w:themeFillTint="40"/>
        <w:tcBorders/>
      </w:tcPr>
    </w:tblStylePr>
    <w:tblStylePr w:type="band1Vert">
      <w:rPr>
        <w:rFonts w:ascii="Arial" w:hAnsi="Arial"/>
        <w:color w:val="404040"/>
        <w:sz w:val="22"/>
      </w:rPr>
      <w:pPr>
        <w:pBdr/>
        <w:spacing/>
        <w:ind/>
      </w:pPr>
      <w:tblPr>
        <w:tblBorders/>
      </w:tblPr>
      <w:tcPr>
        <w:shd w:val="clear" w:color="auto"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25" w:customStyle="1">
    <w:name w:val="List Table 31"/>
    <w:basedOn w:val="1690"/>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26" w:customStyle="1">
    <w:name w:val="List Table 41"/>
    <w:basedOn w:val="1690"/>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auto" w:fill="bfbfbf" w:themeFill="text1" w:themeFillTint="40"/>
        <w:tcBorders/>
      </w:tcPr>
    </w:tblStylePr>
    <w:tblStylePr w:type="band1Vert">
      <w:rPr>
        <w:rFonts w:ascii="Arial" w:hAnsi="Arial"/>
        <w:color w:val="404040"/>
        <w:sz w:val="22"/>
      </w:rPr>
      <w:pPr>
        <w:pBdr/>
        <w:spacing/>
        <w:ind/>
      </w:pPr>
      <w:tblPr>
        <w:tblBorders/>
      </w:tblPr>
      <w:tcPr>
        <w:shd w:val="clear" w:color="auto"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27" w:customStyle="1">
    <w:name w:val="List Table 5 Dark1"/>
    <w:basedOn w:val="1690"/>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auto" w:fill="7f7f7f" w:themeFill="text1" w:themeFillTint="80"/>
    </w:tblPr>
    <w:tcPr>
      <w:tcBorders/>
    </w:tcPr>
    <w:tblStylePr w:type="band1Horz">
      <w:pPr>
        <w:pBdr/>
        <w:spacing/>
        <w:ind/>
      </w:pPr>
      <w:tblPr>
        <w:tblBorders/>
      </w:tblPr>
      <w:tcPr>
        <w:shd w:val="clear" w:color="auto"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28" w:customStyle="1">
    <w:name w:val="List Table 6 Colorful1"/>
    <w:basedOn w:val="1690"/>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auto" w:fill="bfbfbf" w:themeFill="text1" w:themeFillTint="40"/>
        <w:tcBorders/>
      </w:tcPr>
    </w:tblStylePr>
    <w:tblStylePr w:type="band1Vert">
      <w:pPr>
        <w:pBdr/>
        <w:spacing/>
        <w:ind/>
      </w:pPr>
      <w:tblPr>
        <w:tblBorders/>
      </w:tblPr>
      <w:tcPr>
        <w:shd w:val="clear" w:color="auto"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29" w:customStyle="1">
    <w:name w:val="List Table 7 Colorful1"/>
    <w:basedOn w:val="1690"/>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auto" w:fill="bfbfbf" w:themeFill="text1" w:themeFillTint="40"/>
        <w:tcBorders/>
      </w:tcPr>
    </w:tblStylePr>
    <w:tblStylePr w:type="band1Vert">
      <w:pPr>
        <w:pBdr/>
        <w:spacing/>
        <w:ind/>
      </w:pPr>
      <w:tblPr>
        <w:tblBorders/>
      </w:tblPr>
      <w:tcPr>
        <w:shd w:val="clear" w:color="auto"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auto"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auto" w:fill="ffffff"/>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auto"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30" w:customStyle="1">
    <w:name w:val="Lined - Accent"/>
    <w:basedOn w:val="1690"/>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f2f2f2" w:themeFill="text1" w:themeFillTint="0D"/>
        <w:tcBorders/>
      </w:tcPr>
    </w:tblStylePr>
    <w:tblStylePr w:type="band2Vert">
      <w:rPr>
        <w:rFonts w:ascii="Arial" w:hAnsi="Arial"/>
        <w:color w:val="404040"/>
        <w:sz w:val="22"/>
      </w:rPr>
      <w:pPr>
        <w:pBdr/>
        <w:spacing/>
        <w:ind/>
      </w:pPr>
      <w:tblPr>
        <w:tblBorders/>
      </w:tblPr>
      <w:tcPr>
        <w:shd w:val="clear" w:color="auto" w:fill="f2f2f2" w:themeFill="text1" w:themeFillTint="0D"/>
        <w:tcBorders/>
      </w:tcPr>
    </w:tblStylePr>
    <w:tblStylePr w:type="firstCol">
      <w:rPr>
        <w:rFonts w:ascii="Arial" w:hAnsi="Arial"/>
        <w:color w:val="f2f2f2"/>
        <w:sz w:val="22"/>
      </w:rPr>
      <w:pPr>
        <w:pBdr/>
        <w:spacing/>
        <w:ind/>
      </w:pPr>
      <w:tblPr>
        <w:tblBorders/>
      </w:tblPr>
      <w:tcPr>
        <w:shd w:val="clear" w:color="auto" w:fill="7f7f7f" w:themeFill="text1" w:themeFillTint="80"/>
        <w:tcBorders/>
      </w:tcPr>
    </w:tblStylePr>
    <w:tblStylePr w:type="firstRow">
      <w:rPr>
        <w:rFonts w:ascii="Arial" w:hAnsi="Arial"/>
        <w:color w:val="f2f2f2"/>
        <w:sz w:val="22"/>
      </w:rPr>
      <w:pPr>
        <w:pBdr/>
        <w:spacing/>
        <w:ind/>
      </w:pPr>
      <w:tblPr>
        <w:tblBorders/>
      </w:tblPr>
      <w:tcPr>
        <w:shd w:val="clear" w:color="auto" w:fill="7f7f7f" w:themeFill="text1" w:themeFillTint="80"/>
        <w:tcBorders/>
      </w:tcPr>
    </w:tblStylePr>
    <w:tblStylePr w:type="lastCol">
      <w:rPr>
        <w:rFonts w:ascii="Arial" w:hAnsi="Arial"/>
        <w:color w:val="f2f2f2"/>
        <w:sz w:val="22"/>
      </w:rPr>
      <w:pPr>
        <w:pBdr/>
        <w:spacing/>
        <w:ind/>
      </w:pPr>
      <w:tblPr>
        <w:tblBorders/>
      </w:tblPr>
      <w:tcPr>
        <w:shd w:val="clear" w:color="auto" w:fill="7f7f7f" w:themeFill="text1" w:themeFillTint="80"/>
        <w:tcBorders/>
      </w:tcPr>
    </w:tblStylePr>
    <w:tblStylePr w:type="lastRow">
      <w:rPr>
        <w:rFonts w:ascii="Arial" w:hAnsi="Arial"/>
        <w:color w:val="f2f2f2"/>
        <w:sz w:val="22"/>
      </w:rPr>
      <w:pPr>
        <w:pBdr/>
        <w:spacing/>
        <w:ind/>
      </w:pPr>
      <w:tblPr>
        <w:tblBorders/>
      </w:tblPr>
      <w:tcPr>
        <w:shd w:val="clear" w:color="auto"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31" w:customStyle="1">
    <w:name w:val="Lined - Accent 1"/>
    <w:basedOn w:val="1690"/>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c4d2ec" w:themeFill="accent1" w:themeFillTint="50"/>
        <w:tcBorders/>
      </w:tcPr>
    </w:tblStylePr>
    <w:tblStylePr w:type="band2Vert">
      <w:rPr>
        <w:rFonts w:ascii="Arial" w:hAnsi="Arial"/>
        <w:color w:val="404040"/>
        <w:sz w:val="22"/>
      </w:rPr>
      <w:pPr>
        <w:pBdr/>
        <w:spacing/>
        <w:ind/>
      </w:pPr>
      <w:tblPr>
        <w:tblBorders/>
      </w:tblPr>
      <w:tcPr>
        <w:shd w:val="clear" w:color="auto" w:fill="c4d2ec" w:themeFill="accent1" w:themeFillTint="50"/>
        <w:tcBorders/>
      </w:tcPr>
    </w:tblStylePr>
    <w:tblStylePr w:type="firstCol">
      <w:rPr>
        <w:rFonts w:ascii="Arial" w:hAnsi="Arial"/>
        <w:color w:val="f2f2f2"/>
        <w:sz w:val="22"/>
      </w:rPr>
      <w:pPr>
        <w:pBdr/>
        <w:spacing/>
        <w:ind/>
      </w:pPr>
      <w:tblPr>
        <w:tblBorders/>
      </w:tblPr>
      <w:tcPr>
        <w:shd w:val="clear" w:color="auto" w:fill="537dc8" w:themeFill="accent1" w:themeFillTint="EA"/>
        <w:tcBorders/>
      </w:tcPr>
    </w:tblStylePr>
    <w:tblStylePr w:type="firstRow">
      <w:rPr>
        <w:rFonts w:ascii="Arial" w:hAnsi="Arial"/>
        <w:color w:val="f2f2f2"/>
        <w:sz w:val="22"/>
      </w:rPr>
      <w:pPr>
        <w:pBdr/>
        <w:spacing/>
        <w:ind/>
      </w:pPr>
      <w:tblPr>
        <w:tblBorders/>
      </w:tblPr>
      <w:tcPr>
        <w:shd w:val="clear" w:color="auto" w:fill="537dc8" w:themeFill="accent1" w:themeFillTint="EA"/>
        <w:tcBorders/>
      </w:tcPr>
    </w:tblStylePr>
    <w:tblStylePr w:type="lastCol">
      <w:rPr>
        <w:rFonts w:ascii="Arial" w:hAnsi="Arial"/>
        <w:color w:val="f2f2f2"/>
        <w:sz w:val="22"/>
      </w:rPr>
      <w:pPr>
        <w:pBdr/>
        <w:spacing/>
        <w:ind/>
      </w:pPr>
      <w:tblPr>
        <w:tblBorders/>
      </w:tblPr>
      <w:tcPr>
        <w:shd w:val="clear" w:color="auto" w:fill="537dc8" w:themeFill="accent1" w:themeFillTint="EA"/>
        <w:tcBorders/>
      </w:tcPr>
    </w:tblStylePr>
    <w:tblStylePr w:type="lastRow">
      <w:rPr>
        <w:rFonts w:ascii="Arial" w:hAnsi="Arial"/>
        <w:color w:val="f2f2f2"/>
        <w:sz w:val="22"/>
      </w:rPr>
      <w:pPr>
        <w:pBdr/>
        <w:spacing/>
        <w:ind/>
      </w:pPr>
      <w:tblPr>
        <w:tblBorders/>
      </w:tblPr>
      <w:tcPr>
        <w:shd w:val="clear" w:color="auto"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32" w:customStyle="1">
    <w:name w:val="Lined - Accent 2"/>
    <w:basedOn w:val="1690"/>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fbe5d6" w:themeFill="accent2" w:themeFillTint="32"/>
        <w:tcBorders/>
      </w:tcPr>
    </w:tblStylePr>
    <w:tblStylePr w:type="band2Vert">
      <w:rPr>
        <w:rFonts w:ascii="Arial" w:hAnsi="Arial"/>
        <w:color w:val="404040"/>
        <w:sz w:val="22"/>
      </w:rPr>
      <w:pPr>
        <w:pBdr/>
        <w:spacing/>
        <w:ind/>
      </w:pPr>
      <w:tblPr>
        <w:tblBorders/>
      </w:tblPr>
      <w:tcPr>
        <w:shd w:val="clear" w:color="auto" w:fill="fbe5d6" w:themeFill="accent2" w:themeFillTint="32"/>
        <w:tcBorders/>
      </w:tcPr>
    </w:tblStylePr>
    <w:tblStylePr w:type="firstCol">
      <w:rPr>
        <w:rFonts w:ascii="Arial" w:hAnsi="Arial"/>
        <w:color w:val="f2f2f2"/>
        <w:sz w:val="22"/>
      </w:rPr>
      <w:pPr>
        <w:pBdr/>
        <w:spacing/>
        <w:ind/>
      </w:pPr>
      <w:tblPr>
        <w:tblBorders/>
      </w:tblPr>
      <w:tcPr>
        <w:shd w:val="clear" w:color="auto" w:fill="f4b184" w:themeFill="accent2" w:themeFillTint="97"/>
        <w:tcBorders/>
      </w:tcPr>
    </w:tblStylePr>
    <w:tblStylePr w:type="firstRow">
      <w:rPr>
        <w:rFonts w:ascii="Arial" w:hAnsi="Arial"/>
        <w:color w:val="f2f2f2"/>
        <w:sz w:val="22"/>
      </w:rPr>
      <w:pPr>
        <w:pBdr/>
        <w:spacing/>
        <w:ind/>
      </w:pPr>
      <w:tblPr>
        <w:tblBorders/>
      </w:tblPr>
      <w:tcPr>
        <w:shd w:val="clear" w:color="auto" w:fill="f4b184" w:themeFill="accent2" w:themeFillTint="97"/>
        <w:tcBorders/>
      </w:tcPr>
    </w:tblStylePr>
    <w:tblStylePr w:type="lastCol">
      <w:rPr>
        <w:rFonts w:ascii="Arial" w:hAnsi="Arial"/>
        <w:color w:val="f2f2f2"/>
        <w:sz w:val="22"/>
      </w:rPr>
      <w:pPr>
        <w:pBdr/>
        <w:spacing/>
        <w:ind/>
      </w:pPr>
      <w:tblPr>
        <w:tblBorders/>
      </w:tblPr>
      <w:tcPr>
        <w:shd w:val="clear" w:color="auto" w:fill="f4b184" w:themeFill="accent2" w:themeFillTint="97"/>
        <w:tcBorders/>
      </w:tcPr>
    </w:tblStylePr>
    <w:tblStylePr w:type="lastRow">
      <w:rPr>
        <w:rFonts w:ascii="Arial" w:hAnsi="Arial"/>
        <w:color w:val="f2f2f2"/>
        <w:sz w:val="22"/>
      </w:rPr>
      <w:pPr>
        <w:pBdr/>
        <w:spacing/>
        <w:ind/>
      </w:pPr>
      <w:tblPr>
        <w:tblBorders/>
      </w:tblPr>
      <w:tcPr>
        <w:shd w:val="clear" w:color="auto"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33" w:customStyle="1">
    <w:name w:val="Lined - Accent 3"/>
    <w:basedOn w:val="1690"/>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ececec" w:themeFill="accent3" w:themeFillTint="34"/>
        <w:tcBorders/>
      </w:tcPr>
    </w:tblStylePr>
    <w:tblStylePr w:type="band2Vert">
      <w:rPr>
        <w:rFonts w:ascii="Arial" w:hAnsi="Arial"/>
        <w:color w:val="404040"/>
        <w:sz w:val="22"/>
      </w:rPr>
      <w:pPr>
        <w:pBdr/>
        <w:spacing/>
        <w:ind/>
      </w:pPr>
      <w:tblPr>
        <w:tblBorders/>
      </w:tblPr>
      <w:tcPr>
        <w:shd w:val="clear" w:color="auto" w:fill="ececec" w:themeFill="accent3" w:themeFillTint="34"/>
        <w:tcBorders/>
      </w:tcPr>
    </w:tblStylePr>
    <w:tblStylePr w:type="firstCol">
      <w:rPr>
        <w:rFonts w:ascii="Arial" w:hAnsi="Arial"/>
        <w:color w:val="f2f2f2"/>
        <w:sz w:val="22"/>
      </w:rPr>
      <w:pPr>
        <w:pBdr/>
        <w:spacing/>
        <w:ind/>
      </w:pPr>
      <w:tblPr>
        <w:tblBorders/>
      </w:tblPr>
      <w:tcPr>
        <w:shd w:val="clear" w:color="auto" w:fill="a5a5a5" w:themeFill="accent3" w:themeFillTint="FE"/>
        <w:tcBorders/>
      </w:tcPr>
    </w:tblStylePr>
    <w:tblStylePr w:type="firstRow">
      <w:rPr>
        <w:rFonts w:ascii="Arial" w:hAnsi="Arial"/>
        <w:color w:val="f2f2f2"/>
        <w:sz w:val="22"/>
      </w:rPr>
      <w:pPr>
        <w:pBdr/>
        <w:spacing/>
        <w:ind/>
      </w:pPr>
      <w:tblPr>
        <w:tblBorders/>
      </w:tblPr>
      <w:tcPr>
        <w:shd w:val="clear" w:color="auto" w:fill="a5a5a5" w:themeFill="accent3" w:themeFillTint="FE"/>
        <w:tcBorders/>
      </w:tcPr>
    </w:tblStylePr>
    <w:tblStylePr w:type="lastCol">
      <w:rPr>
        <w:rFonts w:ascii="Arial" w:hAnsi="Arial"/>
        <w:color w:val="f2f2f2"/>
        <w:sz w:val="22"/>
      </w:rPr>
      <w:pPr>
        <w:pBdr/>
        <w:spacing/>
        <w:ind/>
      </w:pPr>
      <w:tblPr>
        <w:tblBorders/>
      </w:tblPr>
      <w:tcPr>
        <w:shd w:val="clear" w:color="auto" w:fill="a5a5a5" w:themeFill="accent3" w:themeFillTint="FE"/>
        <w:tcBorders/>
      </w:tcPr>
    </w:tblStylePr>
    <w:tblStylePr w:type="lastRow">
      <w:rPr>
        <w:rFonts w:ascii="Arial" w:hAnsi="Arial"/>
        <w:color w:val="f2f2f2"/>
        <w:sz w:val="22"/>
      </w:rPr>
      <w:pPr>
        <w:pBdr/>
        <w:spacing/>
        <w:ind/>
      </w:pPr>
      <w:tblPr>
        <w:tblBorders/>
      </w:tblPr>
      <w:tcPr>
        <w:shd w:val="clear" w:color="auto"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34" w:customStyle="1">
    <w:name w:val="Lined - Accent 4"/>
    <w:basedOn w:val="1690"/>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fff2cb" w:themeFill="accent4" w:themeFillTint="34"/>
        <w:tcBorders/>
      </w:tcPr>
    </w:tblStylePr>
    <w:tblStylePr w:type="band2Vert">
      <w:rPr>
        <w:rFonts w:ascii="Arial" w:hAnsi="Arial"/>
        <w:color w:val="404040"/>
        <w:sz w:val="22"/>
      </w:rPr>
      <w:pPr>
        <w:pBdr/>
        <w:spacing/>
        <w:ind/>
      </w:pPr>
      <w:tblPr>
        <w:tblBorders/>
      </w:tblPr>
      <w:tcPr>
        <w:shd w:val="clear" w:color="auto" w:fill="fff2cb" w:themeFill="accent4" w:themeFillTint="34"/>
        <w:tcBorders/>
      </w:tcPr>
    </w:tblStylePr>
    <w:tblStylePr w:type="firstCol">
      <w:rPr>
        <w:rFonts w:ascii="Arial" w:hAnsi="Arial"/>
        <w:color w:val="f2f2f2"/>
        <w:sz w:val="22"/>
      </w:rPr>
      <w:pPr>
        <w:pBdr/>
        <w:spacing/>
        <w:ind/>
      </w:pPr>
      <w:tblPr>
        <w:tblBorders/>
      </w:tblPr>
      <w:tcPr>
        <w:shd w:val="clear" w:color="auto" w:fill="ffd865" w:themeFill="accent4" w:themeFillTint="9A"/>
        <w:tcBorders/>
      </w:tcPr>
    </w:tblStylePr>
    <w:tblStylePr w:type="firstRow">
      <w:rPr>
        <w:rFonts w:ascii="Arial" w:hAnsi="Arial"/>
        <w:color w:val="f2f2f2"/>
        <w:sz w:val="22"/>
      </w:rPr>
      <w:pPr>
        <w:pBdr/>
        <w:spacing/>
        <w:ind/>
      </w:pPr>
      <w:tblPr>
        <w:tblBorders/>
      </w:tblPr>
      <w:tcPr>
        <w:shd w:val="clear" w:color="auto" w:fill="ffd865" w:themeFill="accent4" w:themeFillTint="9A"/>
        <w:tcBorders/>
      </w:tcPr>
    </w:tblStylePr>
    <w:tblStylePr w:type="lastCol">
      <w:rPr>
        <w:rFonts w:ascii="Arial" w:hAnsi="Arial"/>
        <w:color w:val="f2f2f2"/>
        <w:sz w:val="22"/>
      </w:rPr>
      <w:pPr>
        <w:pBdr/>
        <w:spacing/>
        <w:ind/>
      </w:pPr>
      <w:tblPr>
        <w:tblBorders/>
      </w:tblPr>
      <w:tcPr>
        <w:shd w:val="clear" w:color="auto" w:fill="ffd865" w:themeFill="accent4" w:themeFillTint="9A"/>
        <w:tcBorders/>
      </w:tcPr>
    </w:tblStylePr>
    <w:tblStylePr w:type="lastRow">
      <w:rPr>
        <w:rFonts w:ascii="Arial" w:hAnsi="Arial"/>
        <w:color w:val="f2f2f2"/>
        <w:sz w:val="22"/>
      </w:rPr>
      <w:pPr>
        <w:pBdr/>
        <w:spacing/>
        <w:ind/>
      </w:pPr>
      <w:tblPr>
        <w:tblBorders/>
      </w:tblPr>
      <w:tcPr>
        <w:shd w:val="clear" w:color="auto"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35" w:customStyle="1">
    <w:name w:val="Lined - Accent 5"/>
    <w:basedOn w:val="1690"/>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ddeaf6" w:themeFill="accent5" w:themeFillTint="34"/>
        <w:tcBorders/>
      </w:tcPr>
    </w:tblStylePr>
    <w:tblStylePr w:type="band2Vert">
      <w:rPr>
        <w:rFonts w:ascii="Arial" w:hAnsi="Arial"/>
        <w:color w:val="404040"/>
        <w:sz w:val="22"/>
      </w:rPr>
      <w:pPr>
        <w:pBdr/>
        <w:spacing/>
        <w:ind/>
      </w:pPr>
      <w:tblPr>
        <w:tblBorders/>
      </w:tblPr>
      <w:tcPr>
        <w:shd w:val="clear" w:color="auto" w:fill="ddeaf6" w:themeFill="accent5" w:themeFillTint="34"/>
        <w:tcBorders/>
      </w:tcPr>
    </w:tblStylePr>
    <w:tblStylePr w:type="firstCol">
      <w:rPr>
        <w:rFonts w:ascii="Arial" w:hAnsi="Arial"/>
        <w:color w:val="f2f2f2"/>
        <w:sz w:val="22"/>
      </w:rPr>
      <w:pPr>
        <w:pBdr/>
        <w:spacing/>
        <w:ind/>
      </w:pPr>
      <w:tblPr>
        <w:tblBorders/>
      </w:tblPr>
      <w:tcPr>
        <w:shd w:val="clear" w:color="auto" w:fill="5b9bd5" w:themeFill="accent5"/>
        <w:tcBorders/>
      </w:tcPr>
    </w:tblStylePr>
    <w:tblStylePr w:type="firstRow">
      <w:rPr>
        <w:rFonts w:ascii="Arial" w:hAnsi="Arial"/>
        <w:color w:val="f2f2f2"/>
        <w:sz w:val="22"/>
      </w:rPr>
      <w:pPr>
        <w:pBdr/>
        <w:spacing/>
        <w:ind/>
      </w:pPr>
      <w:tblPr>
        <w:tblBorders/>
      </w:tblPr>
      <w:tcPr>
        <w:shd w:val="clear" w:color="auto" w:fill="5b9bd5" w:themeFill="accent5"/>
        <w:tcBorders/>
      </w:tcPr>
    </w:tblStylePr>
    <w:tblStylePr w:type="lastCol">
      <w:rPr>
        <w:rFonts w:ascii="Arial" w:hAnsi="Arial"/>
        <w:color w:val="f2f2f2"/>
        <w:sz w:val="22"/>
      </w:rPr>
      <w:pPr>
        <w:pBdr/>
        <w:spacing/>
        <w:ind/>
      </w:pPr>
      <w:tblPr>
        <w:tblBorders/>
      </w:tblPr>
      <w:tcPr>
        <w:shd w:val="clear" w:color="auto" w:fill="5b9bd5" w:themeFill="accent5"/>
        <w:tcBorders/>
      </w:tcPr>
    </w:tblStylePr>
    <w:tblStylePr w:type="lastRow">
      <w:rPr>
        <w:rFonts w:ascii="Arial" w:hAnsi="Arial"/>
        <w:color w:val="f2f2f2"/>
        <w:sz w:val="22"/>
      </w:rPr>
      <w:pPr>
        <w:pBdr/>
        <w:spacing/>
        <w:ind/>
      </w:pPr>
      <w:tblPr>
        <w:tblBorders/>
      </w:tblPr>
      <w:tcPr>
        <w:shd w:val="clear" w:color="auto"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36" w:customStyle="1">
    <w:name w:val="Lined - Accent 6"/>
    <w:basedOn w:val="1690"/>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e1efd8" w:themeFill="accent6" w:themeFillTint="34"/>
        <w:tcBorders/>
      </w:tcPr>
    </w:tblStylePr>
    <w:tblStylePr w:type="band2Vert">
      <w:rPr>
        <w:rFonts w:ascii="Arial" w:hAnsi="Arial"/>
        <w:color w:val="404040"/>
        <w:sz w:val="22"/>
      </w:rPr>
      <w:pPr>
        <w:pBdr/>
        <w:spacing/>
        <w:ind/>
      </w:pPr>
      <w:tblPr>
        <w:tblBorders/>
      </w:tblPr>
      <w:tcPr>
        <w:shd w:val="clear" w:color="auto" w:fill="e1efd8" w:themeFill="accent6" w:themeFillTint="34"/>
        <w:tcBorders/>
      </w:tcPr>
    </w:tblStylePr>
    <w:tblStylePr w:type="firstCol">
      <w:rPr>
        <w:rFonts w:ascii="Arial" w:hAnsi="Arial"/>
        <w:color w:val="f2f2f2"/>
        <w:sz w:val="22"/>
      </w:rPr>
      <w:pPr>
        <w:pBdr/>
        <w:spacing/>
        <w:ind/>
      </w:pPr>
      <w:tblPr>
        <w:tblBorders/>
      </w:tblPr>
      <w:tcPr>
        <w:shd w:val="clear" w:color="auto" w:fill="70ad47" w:themeFill="accent6"/>
        <w:tcBorders/>
      </w:tcPr>
    </w:tblStylePr>
    <w:tblStylePr w:type="firstRow">
      <w:rPr>
        <w:rFonts w:ascii="Arial" w:hAnsi="Arial"/>
        <w:color w:val="f2f2f2"/>
        <w:sz w:val="22"/>
      </w:rPr>
      <w:pPr>
        <w:pBdr/>
        <w:spacing/>
        <w:ind/>
      </w:pPr>
      <w:tblPr>
        <w:tblBorders/>
      </w:tblPr>
      <w:tcPr>
        <w:shd w:val="clear" w:color="auto" w:fill="70ad47" w:themeFill="accent6"/>
        <w:tcBorders/>
      </w:tcPr>
    </w:tblStylePr>
    <w:tblStylePr w:type="lastCol">
      <w:rPr>
        <w:rFonts w:ascii="Arial" w:hAnsi="Arial"/>
        <w:color w:val="f2f2f2"/>
        <w:sz w:val="22"/>
      </w:rPr>
      <w:pPr>
        <w:pBdr/>
        <w:spacing/>
        <w:ind/>
      </w:pPr>
      <w:tblPr>
        <w:tblBorders/>
      </w:tblPr>
      <w:tcPr>
        <w:shd w:val="clear" w:color="auto" w:fill="70ad47" w:themeFill="accent6"/>
        <w:tcBorders/>
      </w:tcPr>
    </w:tblStylePr>
    <w:tblStylePr w:type="lastRow">
      <w:rPr>
        <w:rFonts w:ascii="Arial" w:hAnsi="Arial"/>
        <w:color w:val="f2f2f2"/>
        <w:sz w:val="22"/>
      </w:rPr>
      <w:pPr>
        <w:pBdr/>
        <w:spacing/>
        <w:ind/>
      </w:pPr>
      <w:tblPr>
        <w:tblBorders/>
      </w:tblPr>
      <w:tcPr>
        <w:shd w:val="clear" w:color="auto"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37" w:customStyle="1">
    <w:name w:val="Bordered &amp; Lined - Accent"/>
    <w:basedOn w:val="1690"/>
    <w:uiPriority w:val="99"/>
    <w:pPr>
      <w:pBdr/>
      <w:spacing w:after="0" w:line="240" w:lineRule="auto"/>
      <w:ind/>
    </w:pPr>
    <w:rPr>
      <w:color w:val="404040"/>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f2f2f2" w:themeFill="text1" w:themeFillTint="0D"/>
        <w:tcBorders/>
      </w:tcPr>
    </w:tblStylePr>
    <w:tblStylePr w:type="band2Vert">
      <w:rPr>
        <w:rFonts w:ascii="Arial" w:hAnsi="Arial"/>
        <w:color w:val="404040"/>
        <w:sz w:val="22"/>
      </w:rPr>
      <w:pPr>
        <w:pBdr/>
        <w:spacing/>
        <w:ind/>
      </w:pPr>
      <w:tblPr>
        <w:tblBorders/>
      </w:tblPr>
      <w:tcPr>
        <w:shd w:val="clear" w:color="auto" w:fill="f2f2f2" w:themeFill="text1" w:themeFillTint="0D"/>
        <w:tcBorders/>
      </w:tcPr>
    </w:tblStylePr>
    <w:tblStylePr w:type="firstCol">
      <w:rPr>
        <w:rFonts w:ascii="Arial" w:hAnsi="Arial"/>
        <w:color w:val="f2f2f2"/>
        <w:sz w:val="22"/>
      </w:rPr>
      <w:pPr>
        <w:pBdr/>
        <w:spacing/>
        <w:ind/>
      </w:pPr>
      <w:tblPr>
        <w:tblBorders/>
      </w:tblPr>
      <w:tcPr>
        <w:shd w:val="clear" w:color="auto" w:fill="7f7f7f" w:themeFill="text1" w:themeFillTint="80"/>
        <w:tcBorders/>
      </w:tcPr>
    </w:tblStylePr>
    <w:tblStylePr w:type="firstRow">
      <w:rPr>
        <w:rFonts w:ascii="Arial" w:hAnsi="Arial"/>
        <w:color w:val="f2f2f2"/>
        <w:sz w:val="22"/>
      </w:rPr>
      <w:pPr>
        <w:pBdr/>
        <w:spacing/>
        <w:ind/>
      </w:pPr>
      <w:tblPr>
        <w:tblBorders/>
      </w:tblPr>
      <w:tcPr>
        <w:shd w:val="clear" w:color="auto" w:fill="7f7f7f" w:themeFill="text1" w:themeFillTint="80"/>
        <w:tcBorders/>
      </w:tcPr>
    </w:tblStylePr>
    <w:tblStylePr w:type="lastCol">
      <w:rPr>
        <w:rFonts w:ascii="Arial" w:hAnsi="Arial"/>
        <w:color w:val="f2f2f2"/>
        <w:sz w:val="22"/>
      </w:rPr>
      <w:pPr>
        <w:pBdr/>
        <w:spacing/>
        <w:ind/>
      </w:pPr>
      <w:tblPr>
        <w:tblBorders/>
      </w:tblPr>
      <w:tcPr>
        <w:shd w:val="clear" w:color="auto" w:fill="7f7f7f" w:themeFill="text1" w:themeFillTint="80"/>
        <w:tcBorders/>
      </w:tcPr>
    </w:tblStylePr>
    <w:tblStylePr w:type="lastRow">
      <w:rPr>
        <w:rFonts w:ascii="Arial" w:hAnsi="Arial"/>
        <w:color w:val="f2f2f2"/>
        <w:sz w:val="22"/>
      </w:rPr>
      <w:pPr>
        <w:pBdr/>
        <w:spacing/>
        <w:ind/>
      </w:pPr>
      <w:tblPr>
        <w:tblBorders/>
      </w:tblPr>
      <w:tcPr>
        <w:shd w:val="clear" w:color="auto"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38" w:customStyle="1">
    <w:name w:val="Bordered &amp; Lined - Accent 1"/>
    <w:basedOn w:val="1690"/>
    <w:uiPriority w:val="99"/>
    <w:pPr>
      <w:pBdr/>
      <w:spacing w:after="0" w:line="240" w:lineRule="auto"/>
      <w:ind/>
    </w:pPr>
    <w:rPr>
      <w:color w:val="404040"/>
      <w:sz w:val="20"/>
      <w:szCs w:val="20"/>
    </w:rPr>
    <w:tblPr>
      <w:tblStyleRowBandSize w:val="1"/>
      <w:tblStyleColBandSize w:val="1"/>
      <w:tblBorders>
        <w:top w:val="single" w:color="254175" w:themeColor="accent1" w:themeShade="95" w:sz="4" w:space="0"/>
        <w:left w:val="single" w:color="254175" w:themeColor="accent1" w:themeShade="95" w:sz="4" w:space="0"/>
        <w:bottom w:val="single" w:color="254175" w:themeColor="accent1" w:themeShade="95" w:sz="4" w:space="0"/>
        <w:right w:val="single" w:color="254175" w:themeColor="accent1" w:themeShade="95" w:sz="4" w:space="0"/>
        <w:insideH w:val="single" w:color="254175" w:themeColor="accent1" w:themeShade="95" w:sz="4" w:space="0"/>
        <w:insideV w:val="single" w:color="254175"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c4d2ec" w:themeFill="accent1" w:themeFillTint="50"/>
        <w:tcBorders/>
      </w:tcPr>
    </w:tblStylePr>
    <w:tblStylePr w:type="band2Vert">
      <w:rPr>
        <w:rFonts w:ascii="Arial" w:hAnsi="Arial"/>
        <w:color w:val="404040"/>
        <w:sz w:val="22"/>
      </w:rPr>
      <w:pPr>
        <w:pBdr/>
        <w:spacing/>
        <w:ind/>
      </w:pPr>
      <w:tblPr>
        <w:tblBorders/>
      </w:tblPr>
      <w:tcPr>
        <w:shd w:val="clear" w:color="auto" w:fill="c4d2ec" w:themeFill="accent1" w:themeFillTint="50"/>
        <w:tcBorders/>
      </w:tcPr>
    </w:tblStylePr>
    <w:tblStylePr w:type="firstCol">
      <w:rPr>
        <w:rFonts w:ascii="Arial" w:hAnsi="Arial"/>
        <w:color w:val="f2f2f2"/>
        <w:sz w:val="22"/>
      </w:rPr>
      <w:pPr>
        <w:pBdr/>
        <w:spacing/>
        <w:ind/>
      </w:pPr>
      <w:tblPr>
        <w:tblBorders/>
      </w:tblPr>
      <w:tcPr>
        <w:shd w:val="clear" w:color="auto" w:fill="537dc8" w:themeFill="accent1" w:themeFillTint="EA"/>
        <w:tcBorders/>
      </w:tcPr>
    </w:tblStylePr>
    <w:tblStylePr w:type="firstRow">
      <w:rPr>
        <w:rFonts w:ascii="Arial" w:hAnsi="Arial"/>
        <w:color w:val="f2f2f2"/>
        <w:sz w:val="22"/>
      </w:rPr>
      <w:pPr>
        <w:pBdr/>
        <w:spacing/>
        <w:ind/>
      </w:pPr>
      <w:tblPr>
        <w:tblBorders/>
      </w:tblPr>
      <w:tcPr>
        <w:shd w:val="clear" w:color="auto" w:fill="537dc8" w:themeFill="accent1" w:themeFillTint="EA"/>
        <w:tcBorders/>
      </w:tcPr>
    </w:tblStylePr>
    <w:tblStylePr w:type="lastCol">
      <w:rPr>
        <w:rFonts w:ascii="Arial" w:hAnsi="Arial"/>
        <w:color w:val="f2f2f2"/>
        <w:sz w:val="22"/>
      </w:rPr>
      <w:pPr>
        <w:pBdr/>
        <w:spacing/>
        <w:ind/>
      </w:pPr>
      <w:tblPr>
        <w:tblBorders/>
      </w:tblPr>
      <w:tcPr>
        <w:shd w:val="clear" w:color="auto" w:fill="537dc8" w:themeFill="accent1" w:themeFillTint="EA"/>
        <w:tcBorders/>
      </w:tcPr>
    </w:tblStylePr>
    <w:tblStylePr w:type="lastRow">
      <w:rPr>
        <w:rFonts w:ascii="Arial" w:hAnsi="Arial"/>
        <w:color w:val="f2f2f2"/>
        <w:sz w:val="22"/>
      </w:rPr>
      <w:pPr>
        <w:pBdr/>
        <w:spacing/>
        <w:ind/>
      </w:pPr>
      <w:tblPr>
        <w:tblBorders/>
      </w:tblPr>
      <w:tcPr>
        <w:shd w:val="clear" w:color="auto" w:fill="537dc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39" w:customStyle="1">
    <w:name w:val="Bordered &amp; Lined - Accent 2"/>
    <w:basedOn w:val="1690"/>
    <w:uiPriority w:val="99"/>
    <w:pPr>
      <w:pBdr/>
      <w:spacing w:after="0" w:line="240" w:lineRule="auto"/>
      <w:ind/>
    </w:pPr>
    <w:rPr>
      <w:color w:val="404040"/>
      <w:sz w:val="20"/>
      <w:szCs w:val="2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fbe5d6" w:themeFill="accent2" w:themeFillTint="32"/>
        <w:tcBorders/>
      </w:tcPr>
    </w:tblStylePr>
    <w:tblStylePr w:type="band2Vert">
      <w:rPr>
        <w:rFonts w:ascii="Arial" w:hAnsi="Arial"/>
        <w:color w:val="404040"/>
        <w:sz w:val="22"/>
      </w:rPr>
      <w:pPr>
        <w:pBdr/>
        <w:spacing/>
        <w:ind/>
      </w:pPr>
      <w:tblPr>
        <w:tblBorders/>
      </w:tblPr>
      <w:tcPr>
        <w:shd w:val="clear" w:color="auto" w:fill="fbe5d6" w:themeFill="accent2" w:themeFillTint="32"/>
        <w:tcBorders/>
      </w:tcPr>
    </w:tblStylePr>
    <w:tblStylePr w:type="firstCol">
      <w:rPr>
        <w:rFonts w:ascii="Arial" w:hAnsi="Arial"/>
        <w:color w:val="f2f2f2"/>
        <w:sz w:val="22"/>
      </w:rPr>
      <w:pPr>
        <w:pBdr/>
        <w:spacing/>
        <w:ind/>
      </w:pPr>
      <w:tblPr>
        <w:tblBorders/>
      </w:tblPr>
      <w:tcPr>
        <w:shd w:val="clear" w:color="auto" w:fill="f4b184" w:themeFill="accent2" w:themeFillTint="97"/>
        <w:tcBorders/>
      </w:tcPr>
    </w:tblStylePr>
    <w:tblStylePr w:type="firstRow">
      <w:rPr>
        <w:rFonts w:ascii="Arial" w:hAnsi="Arial"/>
        <w:color w:val="f2f2f2"/>
        <w:sz w:val="22"/>
      </w:rPr>
      <w:pPr>
        <w:pBdr/>
        <w:spacing/>
        <w:ind/>
      </w:pPr>
      <w:tblPr>
        <w:tblBorders/>
      </w:tblPr>
      <w:tcPr>
        <w:shd w:val="clear" w:color="auto" w:fill="f4b184" w:themeFill="accent2" w:themeFillTint="97"/>
        <w:tcBorders/>
      </w:tcPr>
    </w:tblStylePr>
    <w:tblStylePr w:type="lastCol">
      <w:rPr>
        <w:rFonts w:ascii="Arial" w:hAnsi="Arial"/>
        <w:color w:val="f2f2f2"/>
        <w:sz w:val="22"/>
      </w:rPr>
      <w:pPr>
        <w:pBdr/>
        <w:spacing/>
        <w:ind/>
      </w:pPr>
      <w:tblPr>
        <w:tblBorders/>
      </w:tblPr>
      <w:tcPr>
        <w:shd w:val="clear" w:color="auto" w:fill="f4b184" w:themeFill="accent2" w:themeFillTint="97"/>
        <w:tcBorders/>
      </w:tcPr>
    </w:tblStylePr>
    <w:tblStylePr w:type="lastRow">
      <w:rPr>
        <w:rFonts w:ascii="Arial" w:hAnsi="Arial"/>
        <w:color w:val="f2f2f2"/>
        <w:sz w:val="22"/>
      </w:rPr>
      <w:pPr>
        <w:pBdr/>
        <w:spacing/>
        <w:ind/>
      </w:pPr>
      <w:tblPr>
        <w:tblBorders/>
      </w:tblPr>
      <w:tcPr>
        <w:shd w:val="clear" w:color="auto"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40" w:customStyle="1">
    <w:name w:val="Bordered &amp; Lined - Accent 3"/>
    <w:basedOn w:val="1690"/>
    <w:uiPriority w:val="99"/>
    <w:pPr>
      <w:pBdr/>
      <w:spacing w:after="0" w:line="240" w:lineRule="auto"/>
      <w:ind/>
    </w:pPr>
    <w:rPr>
      <w:color w:val="404040"/>
      <w:sz w:val="20"/>
      <w:szCs w:val="2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ececec" w:themeFill="accent3" w:themeFillTint="34"/>
        <w:tcBorders/>
      </w:tcPr>
    </w:tblStylePr>
    <w:tblStylePr w:type="band2Vert">
      <w:rPr>
        <w:rFonts w:ascii="Arial" w:hAnsi="Arial"/>
        <w:color w:val="404040"/>
        <w:sz w:val="22"/>
      </w:rPr>
      <w:pPr>
        <w:pBdr/>
        <w:spacing/>
        <w:ind/>
      </w:pPr>
      <w:tblPr>
        <w:tblBorders/>
      </w:tblPr>
      <w:tcPr>
        <w:shd w:val="clear" w:color="auto" w:fill="ececec" w:themeFill="accent3" w:themeFillTint="34"/>
        <w:tcBorders/>
      </w:tcPr>
    </w:tblStylePr>
    <w:tblStylePr w:type="firstCol">
      <w:rPr>
        <w:rFonts w:ascii="Arial" w:hAnsi="Arial"/>
        <w:color w:val="f2f2f2"/>
        <w:sz w:val="22"/>
      </w:rPr>
      <w:pPr>
        <w:pBdr/>
        <w:spacing/>
        <w:ind/>
      </w:pPr>
      <w:tblPr>
        <w:tblBorders/>
      </w:tblPr>
      <w:tcPr>
        <w:shd w:val="clear" w:color="auto" w:fill="a5a5a5" w:themeFill="accent3" w:themeFillTint="FE"/>
        <w:tcBorders/>
      </w:tcPr>
    </w:tblStylePr>
    <w:tblStylePr w:type="firstRow">
      <w:rPr>
        <w:rFonts w:ascii="Arial" w:hAnsi="Arial"/>
        <w:color w:val="f2f2f2"/>
        <w:sz w:val="22"/>
      </w:rPr>
      <w:pPr>
        <w:pBdr/>
        <w:spacing/>
        <w:ind/>
      </w:pPr>
      <w:tblPr>
        <w:tblBorders/>
      </w:tblPr>
      <w:tcPr>
        <w:shd w:val="clear" w:color="auto" w:fill="a5a5a5" w:themeFill="accent3" w:themeFillTint="FE"/>
        <w:tcBorders/>
      </w:tcPr>
    </w:tblStylePr>
    <w:tblStylePr w:type="lastCol">
      <w:rPr>
        <w:rFonts w:ascii="Arial" w:hAnsi="Arial"/>
        <w:color w:val="f2f2f2"/>
        <w:sz w:val="22"/>
      </w:rPr>
      <w:pPr>
        <w:pBdr/>
        <w:spacing/>
        <w:ind/>
      </w:pPr>
      <w:tblPr>
        <w:tblBorders/>
      </w:tblPr>
      <w:tcPr>
        <w:shd w:val="clear" w:color="auto" w:fill="a5a5a5" w:themeFill="accent3" w:themeFillTint="FE"/>
        <w:tcBorders/>
      </w:tcPr>
    </w:tblStylePr>
    <w:tblStylePr w:type="lastRow">
      <w:rPr>
        <w:rFonts w:ascii="Arial" w:hAnsi="Arial"/>
        <w:color w:val="f2f2f2"/>
        <w:sz w:val="22"/>
      </w:rPr>
      <w:pPr>
        <w:pBdr/>
        <w:spacing/>
        <w:ind/>
      </w:pPr>
      <w:tblPr>
        <w:tblBorders/>
      </w:tblPr>
      <w:tcPr>
        <w:shd w:val="clear" w:color="auto"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41" w:customStyle="1">
    <w:name w:val="Bordered &amp; Lined - Accent 4"/>
    <w:basedOn w:val="1690"/>
    <w:uiPriority w:val="99"/>
    <w:pPr>
      <w:pBdr/>
      <w:spacing w:after="0" w:line="240" w:lineRule="auto"/>
      <w:ind/>
    </w:pPr>
    <w:rPr>
      <w:color w:val="404040"/>
      <w:sz w:val="20"/>
      <w:szCs w:val="2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fff2cb" w:themeFill="accent4" w:themeFillTint="34"/>
        <w:tcBorders/>
      </w:tcPr>
    </w:tblStylePr>
    <w:tblStylePr w:type="band2Vert">
      <w:rPr>
        <w:rFonts w:ascii="Arial" w:hAnsi="Arial"/>
        <w:color w:val="404040"/>
        <w:sz w:val="22"/>
      </w:rPr>
      <w:pPr>
        <w:pBdr/>
        <w:spacing/>
        <w:ind/>
      </w:pPr>
      <w:tblPr>
        <w:tblBorders/>
      </w:tblPr>
      <w:tcPr>
        <w:shd w:val="clear" w:color="auto" w:fill="fff2cb" w:themeFill="accent4" w:themeFillTint="34"/>
        <w:tcBorders/>
      </w:tcPr>
    </w:tblStylePr>
    <w:tblStylePr w:type="firstCol">
      <w:rPr>
        <w:rFonts w:ascii="Arial" w:hAnsi="Arial"/>
        <w:color w:val="f2f2f2"/>
        <w:sz w:val="22"/>
      </w:rPr>
      <w:pPr>
        <w:pBdr/>
        <w:spacing/>
        <w:ind/>
      </w:pPr>
      <w:tblPr>
        <w:tblBorders/>
      </w:tblPr>
      <w:tcPr>
        <w:shd w:val="clear" w:color="auto" w:fill="ffd865" w:themeFill="accent4" w:themeFillTint="9A"/>
        <w:tcBorders/>
      </w:tcPr>
    </w:tblStylePr>
    <w:tblStylePr w:type="firstRow">
      <w:rPr>
        <w:rFonts w:ascii="Arial" w:hAnsi="Arial"/>
        <w:color w:val="f2f2f2"/>
        <w:sz w:val="22"/>
      </w:rPr>
      <w:pPr>
        <w:pBdr/>
        <w:spacing/>
        <w:ind/>
      </w:pPr>
      <w:tblPr>
        <w:tblBorders/>
      </w:tblPr>
      <w:tcPr>
        <w:shd w:val="clear" w:color="auto" w:fill="ffd865" w:themeFill="accent4" w:themeFillTint="9A"/>
        <w:tcBorders/>
      </w:tcPr>
    </w:tblStylePr>
    <w:tblStylePr w:type="lastCol">
      <w:rPr>
        <w:rFonts w:ascii="Arial" w:hAnsi="Arial"/>
        <w:color w:val="f2f2f2"/>
        <w:sz w:val="22"/>
      </w:rPr>
      <w:pPr>
        <w:pBdr/>
        <w:spacing/>
        <w:ind/>
      </w:pPr>
      <w:tblPr>
        <w:tblBorders/>
      </w:tblPr>
      <w:tcPr>
        <w:shd w:val="clear" w:color="auto" w:fill="ffd865" w:themeFill="accent4" w:themeFillTint="9A"/>
        <w:tcBorders/>
      </w:tcPr>
    </w:tblStylePr>
    <w:tblStylePr w:type="lastRow">
      <w:rPr>
        <w:rFonts w:ascii="Arial" w:hAnsi="Arial"/>
        <w:color w:val="f2f2f2"/>
        <w:sz w:val="22"/>
      </w:rPr>
      <w:pPr>
        <w:pBdr/>
        <w:spacing/>
        <w:ind/>
      </w:pPr>
      <w:tblPr>
        <w:tblBorders/>
      </w:tblPr>
      <w:tcPr>
        <w:shd w:val="clear" w:color="auto"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42" w:customStyle="1">
    <w:name w:val="Bordered &amp; Lined - Accent 5"/>
    <w:basedOn w:val="1690"/>
    <w:uiPriority w:val="99"/>
    <w:pPr>
      <w:pBdr/>
      <w:spacing w:after="0" w:line="240" w:lineRule="auto"/>
      <w:ind/>
    </w:pPr>
    <w:rPr>
      <w:color w:val="404040"/>
      <w:sz w:val="20"/>
      <w:szCs w:val="20"/>
    </w:rPr>
    <w:tblPr>
      <w:tblStyleRowBandSize w:val="1"/>
      <w:tblStyleColBandSize w:val="1"/>
      <w:tblBorders>
        <w:top w:val="single" w:color="245a8d" w:themeColor="accent5" w:themeShade="95" w:sz="4" w:space="0"/>
        <w:left w:val="single" w:color="245a8d" w:themeColor="accent5" w:themeShade="95" w:sz="4" w:space="0"/>
        <w:bottom w:val="single" w:color="245a8d" w:themeColor="accent5" w:themeShade="95" w:sz="4" w:space="0"/>
        <w:right w:val="single" w:color="245a8d" w:themeColor="accent5" w:themeShade="95" w:sz="4" w:space="0"/>
        <w:insideH w:val="single" w:color="245a8d" w:themeColor="accent5" w:themeShade="95" w:sz="4" w:space="0"/>
        <w:insideV w:val="single" w:color="245a8d"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ddeaf6" w:themeFill="accent5" w:themeFillTint="34"/>
        <w:tcBorders/>
      </w:tcPr>
    </w:tblStylePr>
    <w:tblStylePr w:type="band2Vert">
      <w:rPr>
        <w:rFonts w:ascii="Arial" w:hAnsi="Arial"/>
        <w:color w:val="404040"/>
        <w:sz w:val="22"/>
      </w:rPr>
      <w:pPr>
        <w:pBdr/>
        <w:spacing/>
        <w:ind/>
      </w:pPr>
      <w:tblPr>
        <w:tblBorders/>
      </w:tblPr>
      <w:tcPr>
        <w:shd w:val="clear" w:color="auto" w:fill="ddeaf6" w:themeFill="accent5" w:themeFillTint="34"/>
        <w:tcBorders/>
      </w:tcPr>
    </w:tblStylePr>
    <w:tblStylePr w:type="firstCol">
      <w:rPr>
        <w:rFonts w:ascii="Arial" w:hAnsi="Arial"/>
        <w:color w:val="f2f2f2"/>
        <w:sz w:val="22"/>
      </w:rPr>
      <w:pPr>
        <w:pBdr/>
        <w:spacing/>
        <w:ind/>
      </w:pPr>
      <w:tblPr>
        <w:tblBorders/>
      </w:tblPr>
      <w:tcPr>
        <w:shd w:val="clear" w:color="auto" w:fill="5b9bd5" w:themeFill="accent5"/>
        <w:tcBorders/>
      </w:tcPr>
    </w:tblStylePr>
    <w:tblStylePr w:type="firstRow">
      <w:rPr>
        <w:rFonts w:ascii="Arial" w:hAnsi="Arial"/>
        <w:color w:val="f2f2f2"/>
        <w:sz w:val="22"/>
      </w:rPr>
      <w:pPr>
        <w:pBdr/>
        <w:spacing/>
        <w:ind/>
      </w:pPr>
      <w:tblPr>
        <w:tblBorders/>
      </w:tblPr>
      <w:tcPr>
        <w:shd w:val="clear" w:color="auto" w:fill="5b9bd5" w:themeFill="accent5"/>
        <w:tcBorders/>
      </w:tcPr>
    </w:tblStylePr>
    <w:tblStylePr w:type="lastCol">
      <w:rPr>
        <w:rFonts w:ascii="Arial" w:hAnsi="Arial"/>
        <w:color w:val="f2f2f2"/>
        <w:sz w:val="22"/>
      </w:rPr>
      <w:pPr>
        <w:pBdr/>
        <w:spacing/>
        <w:ind/>
      </w:pPr>
      <w:tblPr>
        <w:tblBorders/>
      </w:tblPr>
      <w:tcPr>
        <w:shd w:val="clear" w:color="auto" w:fill="5b9bd5" w:themeFill="accent5"/>
        <w:tcBorders/>
      </w:tcPr>
    </w:tblStylePr>
    <w:tblStylePr w:type="lastRow">
      <w:rPr>
        <w:rFonts w:ascii="Arial" w:hAnsi="Arial"/>
        <w:color w:val="f2f2f2"/>
        <w:sz w:val="22"/>
      </w:rPr>
      <w:pPr>
        <w:pBdr/>
        <w:spacing/>
        <w:ind/>
      </w:pPr>
      <w:tblPr>
        <w:tblBorders/>
      </w:tblPr>
      <w:tcPr>
        <w:shd w:val="clear" w:color="auto"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43" w:customStyle="1">
    <w:name w:val="Bordered &amp; Lined - Accent 6"/>
    <w:basedOn w:val="1690"/>
    <w:uiPriority w:val="99"/>
    <w:pPr>
      <w:pBdr/>
      <w:spacing w:after="0" w:line="240" w:lineRule="auto"/>
      <w:ind/>
    </w:pPr>
    <w:rPr>
      <w:color w:val="404040"/>
      <w:sz w:val="20"/>
      <w:szCs w:val="2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e1efd8" w:themeFill="accent6" w:themeFillTint="34"/>
        <w:tcBorders/>
      </w:tcPr>
    </w:tblStylePr>
    <w:tblStylePr w:type="band2Vert">
      <w:rPr>
        <w:rFonts w:ascii="Arial" w:hAnsi="Arial"/>
        <w:color w:val="404040"/>
        <w:sz w:val="22"/>
      </w:rPr>
      <w:pPr>
        <w:pBdr/>
        <w:spacing/>
        <w:ind/>
      </w:pPr>
      <w:tblPr>
        <w:tblBorders/>
      </w:tblPr>
      <w:tcPr>
        <w:shd w:val="clear" w:color="auto" w:fill="e1efd8" w:themeFill="accent6" w:themeFillTint="34"/>
        <w:tcBorders/>
      </w:tcPr>
    </w:tblStylePr>
    <w:tblStylePr w:type="firstCol">
      <w:rPr>
        <w:rFonts w:ascii="Arial" w:hAnsi="Arial"/>
        <w:color w:val="f2f2f2"/>
        <w:sz w:val="22"/>
      </w:rPr>
      <w:pPr>
        <w:pBdr/>
        <w:spacing/>
        <w:ind/>
      </w:pPr>
      <w:tblPr>
        <w:tblBorders/>
      </w:tblPr>
      <w:tcPr>
        <w:shd w:val="clear" w:color="auto" w:fill="70ad47" w:themeFill="accent6"/>
        <w:tcBorders/>
      </w:tcPr>
    </w:tblStylePr>
    <w:tblStylePr w:type="firstRow">
      <w:rPr>
        <w:rFonts w:ascii="Arial" w:hAnsi="Arial"/>
        <w:color w:val="f2f2f2"/>
        <w:sz w:val="22"/>
      </w:rPr>
      <w:pPr>
        <w:pBdr/>
        <w:spacing/>
        <w:ind/>
      </w:pPr>
      <w:tblPr>
        <w:tblBorders/>
      </w:tblPr>
      <w:tcPr>
        <w:shd w:val="clear" w:color="auto" w:fill="70ad47" w:themeFill="accent6"/>
        <w:tcBorders/>
      </w:tcPr>
    </w:tblStylePr>
    <w:tblStylePr w:type="lastCol">
      <w:rPr>
        <w:rFonts w:ascii="Arial" w:hAnsi="Arial"/>
        <w:color w:val="f2f2f2"/>
        <w:sz w:val="22"/>
      </w:rPr>
      <w:pPr>
        <w:pBdr/>
        <w:spacing/>
        <w:ind/>
      </w:pPr>
      <w:tblPr>
        <w:tblBorders/>
      </w:tblPr>
      <w:tcPr>
        <w:shd w:val="clear" w:color="auto" w:fill="70ad47" w:themeFill="accent6"/>
        <w:tcBorders/>
      </w:tcPr>
    </w:tblStylePr>
    <w:tblStylePr w:type="lastRow">
      <w:rPr>
        <w:rFonts w:ascii="Arial" w:hAnsi="Arial"/>
        <w:color w:val="f2f2f2"/>
        <w:sz w:val="22"/>
      </w:rPr>
      <w:pPr>
        <w:pBdr/>
        <w:spacing/>
        <w:ind/>
      </w:pPr>
      <w:tblPr>
        <w:tblBorders/>
      </w:tblPr>
      <w:tcPr>
        <w:shd w:val="clear" w:color="auto"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44" w:customStyle="1">
    <w:name w:val="Bordered"/>
    <w:basedOn w:val="1690"/>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45" w:customStyle="1">
    <w:name w:val="Bordered - Accent 1"/>
    <w:basedOn w:val="1690"/>
    <w:uiPriority w:val="99"/>
    <w:pPr>
      <w:pBdr/>
      <w:spacing w:after="0" w:line="240" w:lineRule="auto"/>
      <w:ind/>
    </w:pPr>
    <w:tblPr>
      <w:tblStyleRowBandSize w:val="1"/>
      <w:tblStyleColBandSize w:val="1"/>
      <w:tbl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insideH w:val="single" w:color="b3c5e7" w:themeColor="accent1" w:themeTint="67" w:sz="4" w:space="0"/>
        <w:insideV w:val="single" w:color="b3c5e7"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1" w:themeTint="67" w:sz="4" w:space="0"/>
          <w:left w:val="single" w:color="b3c5e7" w:themeColor="accent1" w:themeTint="67" w:sz="4" w:space="0"/>
          <w:bottom w:val="single" w:color="b3c5e7" w:themeColor="accent1" w:themeTint="67" w:sz="4" w:space="0"/>
          <w:right w:val="single" w:color="b3c5e7"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4472c4" w:themeColor="accent1" w:sz="12" w:space="0"/>
        </w:tcBorders>
      </w:tcPr>
    </w:tblStylePr>
    <w:tblStylePr w:type="lastCol">
      <w:rPr>
        <w:rFonts w:ascii="Arial" w:hAnsi="Arial"/>
        <w:color w:val="404040"/>
        <w:sz w:val="22"/>
      </w:rPr>
      <w:pPr>
        <w:pBdr/>
        <w:spacing/>
        <w:ind/>
      </w:pPr>
      <w:tblPr>
        <w:tblBorders/>
      </w:tblPr>
      <w:tcPr>
        <w:tcBorders>
          <w:left w:val="single" w:color="4472c4" w:themeColor="accent1" w:sz="12" w:space="0"/>
        </w:tcBorders>
      </w:tcPr>
    </w:tblStylePr>
    <w:tblStylePr w:type="lastRow">
      <w:rPr>
        <w:rFonts w:ascii="Arial" w:hAnsi="Arial"/>
        <w:color w:val="404040"/>
        <w:sz w:val="22"/>
      </w:rPr>
      <w:pPr>
        <w:pBdr/>
        <w:spacing/>
        <w:ind/>
      </w:pPr>
      <w:tblPr>
        <w:tblBorders/>
      </w:tblPr>
      <w:tcPr>
        <w:tcBorders>
          <w:top w:val="single" w:color="4472c4"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46" w:customStyle="1">
    <w:name w:val="Bordered - Accent 2"/>
    <w:basedOn w:val="1690"/>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47" w:customStyle="1">
    <w:name w:val="Bordered - Accent 3"/>
    <w:basedOn w:val="1690"/>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48" w:customStyle="1">
    <w:name w:val="Bordered - Accent 4"/>
    <w:basedOn w:val="1690"/>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49" w:customStyle="1">
    <w:name w:val="Bordered - Accent 5"/>
    <w:basedOn w:val="1690"/>
    <w:uiPriority w:val="99"/>
    <w:pPr>
      <w:pBdr/>
      <w:spacing w:after="0" w:line="240" w:lineRule="auto"/>
      <w:ind/>
    </w:pPr>
    <w:tblPr>
      <w:tblStyleRowBandSize w:val="1"/>
      <w:tblStyleColBandSize w:val="1"/>
      <w:tbl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insideH w:val="single" w:color="bcd6ee" w:themeColor="accent5" w:themeTint="67" w:sz="4" w:space="0"/>
        <w:insideV w:val="single" w:color="bcd6ee"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5" w:themeTint="67" w:sz="4" w:space="0"/>
          <w:left w:val="single" w:color="bcd6ee" w:themeColor="accent5" w:themeTint="67" w:sz="4" w:space="0"/>
          <w:bottom w:val="single" w:color="bcd6ee" w:themeColor="accent5" w:themeTint="67" w:sz="4" w:space="0"/>
          <w:right w:val="single" w:color="bcd6ee"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9bc2e5" w:themeColor="accent5" w:themeTint="9A" w:sz="12" w:space="0"/>
        </w:tcBorders>
      </w:tcPr>
    </w:tblStylePr>
    <w:tblStylePr w:type="lastCol">
      <w:rPr>
        <w:rFonts w:ascii="Arial" w:hAnsi="Arial"/>
        <w:color w:val="404040"/>
        <w:sz w:val="22"/>
      </w:rPr>
      <w:pPr>
        <w:pBdr/>
        <w:spacing/>
        <w:ind/>
      </w:pPr>
      <w:tblPr>
        <w:tblBorders/>
      </w:tblPr>
      <w:tcPr>
        <w:tcBorders>
          <w:left w:val="single" w:color="9bc2e5" w:themeColor="accent5" w:themeTint="9A" w:sz="12" w:space="0"/>
        </w:tcBorders>
      </w:tcPr>
    </w:tblStylePr>
    <w:tblStylePr w:type="lastRow">
      <w:rPr>
        <w:rFonts w:ascii="Arial" w:hAnsi="Arial"/>
        <w:color w:val="404040"/>
        <w:sz w:val="22"/>
      </w:rPr>
      <w:pPr>
        <w:pBdr/>
        <w:spacing/>
        <w:ind/>
      </w:pPr>
      <w:tblPr>
        <w:tblBorders/>
      </w:tblPr>
      <w:tcPr>
        <w:tcBorders>
          <w:top w:val="single" w:color="9bc2e5"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50" w:customStyle="1">
    <w:name w:val="Bordered - Accent 6"/>
    <w:basedOn w:val="1690"/>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2051">
    <w:name w:val="Hyperlink"/>
    <w:uiPriority w:val="99"/>
    <w:unhideWhenUsed/>
    <w:pPr>
      <w:pBdr/>
      <w:spacing/>
      <w:ind/>
    </w:pPr>
    <w:rPr>
      <w:color w:val="0563c1" w:themeColor="hyperlink"/>
      <w:u w:val="single"/>
    </w:rPr>
  </w:style>
  <w:style w:type="paragraph" w:styleId="2052">
    <w:name w:val="toc 1"/>
    <w:basedOn w:val="1679"/>
    <w:next w:val="1679"/>
    <w:uiPriority w:val="39"/>
    <w:unhideWhenUsed/>
    <w:pPr>
      <w:pBdr/>
      <w:spacing w:after="57"/>
      <w:ind/>
    </w:pPr>
  </w:style>
  <w:style w:type="paragraph" w:styleId="2053">
    <w:name w:val="toc 2"/>
    <w:basedOn w:val="1679"/>
    <w:next w:val="1679"/>
    <w:uiPriority w:val="39"/>
    <w:unhideWhenUsed/>
    <w:pPr>
      <w:pBdr/>
      <w:spacing w:after="57"/>
      <w:ind w:left="283"/>
    </w:pPr>
  </w:style>
  <w:style w:type="paragraph" w:styleId="2054">
    <w:name w:val="toc 3"/>
    <w:basedOn w:val="1679"/>
    <w:next w:val="1679"/>
    <w:uiPriority w:val="39"/>
    <w:unhideWhenUsed/>
    <w:pPr>
      <w:pBdr/>
      <w:spacing w:after="57"/>
      <w:ind w:left="567"/>
    </w:pPr>
  </w:style>
  <w:style w:type="paragraph" w:styleId="2055">
    <w:name w:val="toc 4"/>
    <w:basedOn w:val="1679"/>
    <w:next w:val="1679"/>
    <w:uiPriority w:val="39"/>
    <w:unhideWhenUsed/>
    <w:pPr>
      <w:pBdr/>
      <w:spacing w:after="57"/>
      <w:ind w:left="850"/>
    </w:pPr>
  </w:style>
  <w:style w:type="paragraph" w:styleId="2056">
    <w:name w:val="toc 5"/>
    <w:basedOn w:val="1679"/>
    <w:next w:val="1679"/>
    <w:uiPriority w:val="39"/>
    <w:unhideWhenUsed/>
    <w:pPr>
      <w:pBdr/>
      <w:spacing w:after="57"/>
      <w:ind w:left="1134"/>
    </w:pPr>
  </w:style>
  <w:style w:type="paragraph" w:styleId="2057">
    <w:name w:val="toc 6"/>
    <w:basedOn w:val="1679"/>
    <w:next w:val="1679"/>
    <w:uiPriority w:val="39"/>
    <w:unhideWhenUsed/>
    <w:pPr>
      <w:pBdr/>
      <w:spacing w:after="57"/>
      <w:ind w:left="1417"/>
    </w:pPr>
  </w:style>
  <w:style w:type="paragraph" w:styleId="2058">
    <w:name w:val="toc 7"/>
    <w:basedOn w:val="1679"/>
    <w:next w:val="1679"/>
    <w:uiPriority w:val="39"/>
    <w:unhideWhenUsed/>
    <w:pPr>
      <w:pBdr/>
      <w:spacing w:after="57"/>
      <w:ind w:left="1701"/>
    </w:pPr>
  </w:style>
  <w:style w:type="paragraph" w:styleId="2059">
    <w:name w:val="toc 8"/>
    <w:basedOn w:val="1679"/>
    <w:next w:val="1679"/>
    <w:uiPriority w:val="39"/>
    <w:unhideWhenUsed/>
    <w:pPr>
      <w:pBdr/>
      <w:spacing w:after="57"/>
      <w:ind w:left="1984"/>
    </w:pPr>
  </w:style>
  <w:style w:type="paragraph" w:styleId="2060">
    <w:name w:val="toc 9"/>
    <w:basedOn w:val="1679"/>
    <w:next w:val="1679"/>
    <w:uiPriority w:val="39"/>
    <w:unhideWhenUsed/>
    <w:pPr>
      <w:pBdr/>
      <w:spacing w:after="57"/>
      <w:ind w:left="2268"/>
    </w:pPr>
  </w:style>
  <w:style w:type="paragraph" w:styleId="2061">
    <w:name w:val="TOC Heading"/>
    <w:uiPriority w:val="39"/>
    <w:unhideWhenUsed/>
    <w:pPr>
      <w:pBdr/>
      <w:spacing/>
      <w:ind/>
    </w:pPr>
  </w:style>
  <w:style w:type="character" w:styleId="2062" w:customStyle="1">
    <w:name w:val="Heading 1 Char"/>
    <w:basedOn w:val="1689"/>
    <w:link w:val="1680"/>
    <w:pPr>
      <w:pBdr/>
      <w:spacing/>
      <w:ind/>
    </w:pPr>
    <w:rPr>
      <w:rFonts w:ascii="Arial" w:hAnsi="Arial" w:eastAsia="Times New Roman" w:cs="Times New Roman"/>
      <w:b/>
      <w:bCs/>
      <w:sz w:val="32"/>
      <w:szCs w:val="32"/>
    </w:rPr>
  </w:style>
  <w:style w:type="character" w:styleId="2063">
    <w:name w:val="footnote reference"/>
    <w:link w:val="2074"/>
    <w:unhideWhenUsed/>
    <w:qFormat/>
    <w:pPr>
      <w:pBdr/>
      <w:spacing/>
      <w:ind/>
    </w:pPr>
    <w:rPr>
      <w:vertAlign w:val="superscript"/>
    </w:rPr>
  </w:style>
  <w:style w:type="paragraph" w:styleId="2064">
    <w:name w:val="footnote text"/>
    <w:basedOn w:val="1679"/>
    <w:link w:val="2066"/>
    <w:qFormat/>
    <w:pPr>
      <w:pBdr/>
      <w:spacing w:after="40"/>
      <w:ind/>
    </w:pPr>
    <w:rPr>
      <w:sz w:val="18"/>
    </w:rPr>
  </w:style>
  <w:style w:type="character" w:styleId="2065" w:customStyle="1">
    <w:name w:val="Footnote Text Char"/>
    <w:basedOn w:val="1689"/>
    <w:uiPriority w:val="99"/>
    <w:qFormat/>
    <w:pPr>
      <w:pBdr/>
      <w:spacing/>
      <w:ind/>
    </w:pPr>
    <w:rPr>
      <w:rFonts w:eastAsia="Times New Roman" w:cs="Times New Roman"/>
      <w:sz w:val="20"/>
      <w:szCs w:val="20"/>
    </w:rPr>
  </w:style>
  <w:style w:type="character" w:styleId="2066" w:customStyle="1">
    <w:name w:val="Footnote Text Char1"/>
    <w:link w:val="2064"/>
    <w:uiPriority w:val="99"/>
    <w:qFormat/>
    <w:pPr>
      <w:pBdr/>
      <w:spacing/>
      <w:ind/>
    </w:pPr>
    <w:rPr>
      <w:rFonts w:eastAsia="Times New Roman" w:cs="Times New Roman"/>
      <w:sz w:val="18"/>
      <w:szCs w:val="28"/>
    </w:rPr>
  </w:style>
  <w:style w:type="paragraph" w:styleId="2067">
    <w:name w:val="Footer"/>
    <w:basedOn w:val="1679"/>
    <w:link w:val="2068"/>
    <w:pPr>
      <w:widowControl w:val="false"/>
      <w:pBdr/>
      <w:tabs>
        <w:tab w:val="center" w:leader="none" w:pos="4320"/>
        <w:tab w:val="right" w:leader="none" w:pos="8640"/>
      </w:tabs>
      <w:spacing/>
      <w:ind/>
    </w:pPr>
    <w:rPr>
      <w:rFonts w:ascii="VNI-Times" w:hAnsi="VNI-Times"/>
      <w:sz w:val="24"/>
      <w:szCs w:val="24"/>
    </w:rPr>
  </w:style>
  <w:style w:type="character" w:styleId="2068" w:customStyle="1">
    <w:name w:val="Footer Char"/>
    <w:basedOn w:val="1689"/>
    <w:link w:val="2067"/>
    <w:pPr>
      <w:pBdr/>
      <w:spacing/>
      <w:ind/>
    </w:pPr>
    <w:rPr>
      <w:rFonts w:ascii="VNI-Times" w:hAnsi="VNI-Times" w:eastAsia="Times New Roman" w:cs="Times New Roman"/>
      <w:szCs w:val="24"/>
    </w:rPr>
  </w:style>
  <w:style w:type="character" w:styleId="2069">
    <w:name w:val="page number"/>
    <w:basedOn w:val="1689"/>
    <w:pPr>
      <w:pBdr/>
      <w:spacing/>
      <w:ind/>
    </w:pPr>
  </w:style>
  <w:style w:type="paragraph" w:styleId="2070">
    <w:name w:val="Header"/>
    <w:basedOn w:val="1679"/>
    <w:link w:val="2071"/>
    <w:uiPriority w:val="99"/>
    <w:pPr>
      <w:widowControl w:val="false"/>
      <w:pBdr/>
      <w:tabs>
        <w:tab w:val="center" w:leader="none" w:pos="4320"/>
        <w:tab w:val="right" w:leader="none" w:pos="8640"/>
      </w:tabs>
      <w:spacing/>
      <w:ind/>
    </w:pPr>
    <w:rPr>
      <w:rFonts w:ascii="VNI-Times" w:hAnsi="VNI-Times"/>
      <w:sz w:val="24"/>
      <w:szCs w:val="24"/>
    </w:rPr>
  </w:style>
  <w:style w:type="character" w:styleId="2071" w:customStyle="1">
    <w:name w:val="Header Char"/>
    <w:basedOn w:val="1689"/>
    <w:link w:val="2070"/>
    <w:uiPriority w:val="99"/>
    <w:pPr>
      <w:pBdr/>
      <w:spacing/>
      <w:ind/>
    </w:pPr>
    <w:rPr>
      <w:rFonts w:ascii="VNI-Times" w:hAnsi="VNI-Times" w:eastAsia="Times New Roman" w:cs="Times New Roman"/>
      <w:szCs w:val="24"/>
    </w:rPr>
  </w:style>
  <w:style w:type="table" w:styleId="2072">
    <w:name w:val="Table Grid"/>
    <w:basedOn w:val="1690"/>
    <w:uiPriority w:val="39"/>
    <w:pPr>
      <w:pBdr/>
      <w:spacing w:after="0" w:line="240" w:lineRule="auto"/>
      <w:ind/>
    </w:pPr>
    <w:rPr>
      <w:rFonts w:eastAsia="Times New Roman" w:cs="Times New Roman"/>
      <w:sz w:val="20"/>
    </w:rPr>
    <w:tblP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2073">
    <w:name w:val="Emphasis"/>
    <w:qFormat/>
    <w:pPr>
      <w:pBdr/>
      <w:spacing/>
      <w:ind/>
    </w:pPr>
    <w:rPr>
      <w:i/>
      <w:iCs/>
    </w:rPr>
  </w:style>
  <w:style w:type="paragraph" w:styleId="2074" w:customStyle="1">
    <w:name w:val="Char Char1 Char Char Char Char1 Char Char Char Char Char Char Char Char"/>
    <w:basedOn w:val="1679"/>
    <w:next w:val="1679"/>
    <w:link w:val="2063"/>
    <w:uiPriority w:val="99"/>
    <w:qFormat/>
    <w:pPr>
      <w:pBdr/>
      <w:spacing w:after="160" w:line="240" w:lineRule="exact"/>
      <w:ind/>
    </w:pPr>
    <w:rPr>
      <w:rFonts w:eastAsia="Calibri" w:cs="Calibri"/>
      <w:sz w:val="24"/>
      <w:szCs w:val="22"/>
      <w:vertAlign w:val="superscript"/>
    </w:rPr>
  </w:style>
  <w:style w:type="paragraph" w:styleId="2075">
    <w:name w:val="Normal (Web)"/>
    <w:basedOn w:val="1679"/>
    <w:uiPriority w:val="99"/>
    <w:unhideWhenUsed/>
    <w:pPr>
      <w:pBdr>
        <w:top w:val="none" w:color="000000" w:sz="0" w:space="0"/>
        <w:left w:val="none" w:color="000000" w:sz="0" w:space="0"/>
        <w:bottom w:val="none" w:color="000000" w:sz="0" w:space="0"/>
        <w:right w:val="none" w:color="000000" w:sz="0" w:space="0"/>
        <w:between w:val="none" w:color="000000" w:sz="0" w:space="0"/>
      </w:pBdr>
      <w:spacing w:after="100" w:afterAutospacing="1" w:before="100" w:beforeAutospacing="1"/>
      <w:ind/>
    </w:pPr>
    <w:rPr>
      <w:sz w:val="24"/>
      <w:szCs w:val="24"/>
    </w:rPr>
  </w:style>
  <w:style w:type="character" w:styleId="2076" w:customStyle="1">
    <w:name w:val="text"/>
    <w:basedOn w:val="1689"/>
    <w:qFormat/>
    <w:pPr>
      <w:pBdr/>
      <w:spacing/>
      <w:ind/>
    </w:pPr>
  </w:style>
  <w:style w:type="paragraph" w:styleId="2077">
    <w:name w:val="Body Text Indent"/>
    <w:basedOn w:val="2079"/>
    <w:link w:val="2078"/>
    <w:pPr>
      <w:widowControl w:val="false"/>
      <w:pBdr>
        <w:top w:val="none" w:color="000000" w:sz="0" w:space="0"/>
        <w:left w:val="none" w:color="000000" w:sz="0" w:space="0"/>
        <w:bottom w:val="none" w:color="000000" w:sz="0" w:space="0"/>
        <w:right w:val="none" w:color="000000" w:sz="0" w:space="0"/>
        <w:between w:val="none" w:color="000000" w:sz="0" w:space="0"/>
      </w:pBdr>
      <w:spacing/>
      <w:ind w:firstLine="210"/>
    </w:pPr>
    <w:rPr>
      <w:rFonts w:eastAsia="Lucida Sans Unicode" w:cs="Mangal"/>
      <w:sz w:val="24"/>
      <w:szCs w:val="24"/>
      <w:lang w:eastAsia="zh-CN" w:bidi="hi-IN"/>
    </w:rPr>
  </w:style>
  <w:style w:type="character" w:styleId="2078" w:customStyle="1">
    <w:name w:val="Body Text Indent Char"/>
    <w:basedOn w:val="1689"/>
    <w:link w:val="2077"/>
    <w:pPr>
      <w:pBdr/>
      <w:spacing/>
      <w:ind/>
    </w:pPr>
    <w:rPr>
      <w:rFonts w:eastAsia="Lucida Sans Unicode" w:cs="Mangal"/>
      <w:szCs w:val="24"/>
      <w:lang w:eastAsia="zh-CN" w:bidi="hi-IN"/>
    </w:rPr>
  </w:style>
  <w:style w:type="paragraph" w:styleId="2079">
    <w:name w:val="Body Text"/>
    <w:basedOn w:val="1679"/>
    <w:link w:val="2080"/>
    <w:uiPriority w:val="99"/>
    <w:semiHidden/>
    <w:unhideWhenUsed/>
    <w:pPr>
      <w:pBdr/>
      <w:spacing w:after="120"/>
      <w:ind/>
    </w:pPr>
  </w:style>
  <w:style w:type="character" w:styleId="2080" w:customStyle="1">
    <w:name w:val="Body Text Char"/>
    <w:basedOn w:val="1689"/>
    <w:link w:val="2079"/>
    <w:uiPriority w:val="99"/>
    <w:semiHidden/>
    <w:pPr>
      <w:pBdr/>
      <w:spacing/>
      <w:ind/>
    </w:pPr>
    <w:rPr>
      <w:rFonts w:eastAsia="Times New Roman" w:cs="Times New Roman"/>
      <w:sz w:val="28"/>
      <w:szCs w:val="28"/>
    </w:rPr>
  </w:style>
  <w:style w:type="character" w:styleId="2081" w:customStyle="1">
    <w:name w:val="fontstyle01"/>
    <w:pPr>
      <w:pBdr/>
      <w:spacing/>
      <w:ind/>
    </w:pPr>
    <w:rPr>
      <w:rFonts w:hint="default" w:ascii="TimesNewRomanPSMT" w:hAnsi="TimesNewRomanPSMT"/>
      <w:b w:val="0"/>
      <w:bCs w:val="0"/>
      <w:i w:val="0"/>
      <w:iCs w:val="0"/>
      <w:color w:val="000000"/>
      <w:sz w:val="28"/>
      <w:szCs w:val="28"/>
    </w:rPr>
  </w:style>
  <w:style w:type="character" w:styleId="2082" w:customStyle="1">
    <w:name w:val="ibtext"/>
    <w:pPr>
      <w:pBdr/>
      <w:spacing/>
      <w:ind/>
    </w:pPr>
  </w:style>
  <w:style w:type="character" w:styleId="2083" w:customStyle="1">
    <w:name w:val="citation-60"/>
    <w:basedOn w:val="1689"/>
    <w:pPr>
      <w:pBdr/>
      <w:spacing/>
      <w:ind/>
    </w:pPr>
  </w:style>
  <w:style w:type="character" w:styleId="2084" w:customStyle="1">
    <w:name w:val="citation-59"/>
    <w:basedOn w:val="1689"/>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customXml" Target="../customXml/item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97BE6-3BE6-44AA-B21E-CE69C133D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ONLYOFFICE/8.3.3.19</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Phúc Trần</dc:creator>
  <cp:lastModifiedBy>Nguyễn Nhật Phương Anh</cp:lastModifiedBy>
  <cp:revision>294</cp:revision>
  <dcterms:created xsi:type="dcterms:W3CDTF">2025-08-12T07:45:00Z</dcterms:created>
  <dcterms:modified xsi:type="dcterms:W3CDTF">2025-09-05T03:30:56Z</dcterms:modified>
</cp:coreProperties>
</file>